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C9250" w14:textId="77777777" w:rsidR="00A0445D" w:rsidRDefault="00AC224A" w:rsidP="00AC224A">
      <w:pPr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</w:rPr>
        <w:drawing>
          <wp:inline distT="0" distB="0" distL="0" distR="0" wp14:anchorId="52285BFB" wp14:editId="715D80B3">
            <wp:extent cx="4740301" cy="1714500"/>
            <wp:effectExtent l="0" t="0" r="3175" b="0"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89" b="4484"/>
                    <a:stretch/>
                  </pic:blipFill>
                  <pic:spPr bwMode="auto">
                    <a:xfrm>
                      <a:off x="0" y="0"/>
                      <a:ext cx="4793194" cy="1733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593926" w14:textId="2D2E0E6F" w:rsidR="00AC224A" w:rsidRPr="00D920DE" w:rsidRDefault="00AC224A" w:rsidP="00AC224A">
      <w:pPr>
        <w:jc w:val="center"/>
        <w:rPr>
          <w:rFonts w:asciiTheme="majorBidi" w:hAnsiTheme="majorBidi" w:cstheme="majorBidi"/>
        </w:rPr>
      </w:pPr>
      <w:r w:rsidRPr="007C7441">
        <w:rPr>
          <w:rFonts w:asciiTheme="majorBidi" w:hAnsiTheme="majorBidi" w:cstheme="majorBidi"/>
          <w:b/>
          <w:bCs/>
        </w:rPr>
        <w:t xml:space="preserve"> </w:t>
      </w:r>
      <w:r w:rsidR="00D920DE" w:rsidRPr="00D920DE">
        <w:rPr>
          <w:rFonts w:asciiTheme="majorBidi" w:hAnsiTheme="majorBidi" w:cstheme="majorBidi"/>
          <w:b/>
          <w:bCs/>
          <w:sz w:val="20"/>
          <w:szCs w:val="20"/>
        </w:rPr>
        <w:t xml:space="preserve">Figure S1. </w:t>
      </w:r>
      <w:r w:rsidR="00D920DE" w:rsidRPr="00D920DE">
        <w:rPr>
          <w:rFonts w:asciiTheme="majorBidi" w:hAnsiTheme="majorBidi" w:cstheme="majorBidi"/>
          <w:sz w:val="20"/>
          <w:szCs w:val="20"/>
        </w:rPr>
        <w:t>Emission spectrum of 4,5-dibromo fluorescein (DBF, 8 µg/mL) in aqueous solution.</w:t>
      </w:r>
    </w:p>
    <w:p w14:paraId="72CB903D" w14:textId="77777777" w:rsidR="0008513E" w:rsidRPr="00C5441C" w:rsidRDefault="0008513E" w:rsidP="0008513E">
      <w:pPr>
        <w:jc w:val="center"/>
        <w:rPr>
          <w:rFonts w:asciiTheme="majorBidi" w:hAnsiTheme="majorBidi" w:cstheme="majorBidi"/>
          <w:b/>
          <w:bCs/>
        </w:rPr>
      </w:pPr>
      <w:r>
        <w:rPr>
          <w:noProof/>
        </w:rPr>
        <w:drawing>
          <wp:inline distT="0" distB="0" distL="0" distR="0" wp14:anchorId="15D6FD27" wp14:editId="3E287750">
            <wp:extent cx="4381500" cy="2337683"/>
            <wp:effectExtent l="0" t="0" r="0" b="5715"/>
            <wp:docPr id="1504683179" name="مخطط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 w:rsidRPr="007C7441">
        <w:rPr>
          <w:rFonts w:asciiTheme="majorBidi" w:hAnsiTheme="majorBidi" w:cstheme="majorBidi"/>
          <w:b/>
          <w:bCs/>
        </w:rPr>
        <w:t xml:space="preserve"> </w:t>
      </w:r>
    </w:p>
    <w:p w14:paraId="36F99800" w14:textId="77777777" w:rsidR="000D3EA1" w:rsidRDefault="00C5441C" w:rsidP="00FE6754">
      <w:pPr>
        <w:jc w:val="center"/>
        <w:rPr>
          <w:rFonts w:asciiTheme="majorBidi" w:hAnsiTheme="majorBidi" w:cstheme="majorBidi"/>
          <w:sz w:val="20"/>
          <w:szCs w:val="20"/>
        </w:rPr>
      </w:pPr>
      <w:r w:rsidRPr="00C5441C">
        <w:rPr>
          <w:rFonts w:asciiTheme="majorBidi" w:hAnsiTheme="majorBidi" w:cstheme="majorBidi"/>
          <w:b/>
          <w:bCs/>
          <w:sz w:val="20"/>
          <w:szCs w:val="20"/>
        </w:rPr>
        <w:t>Figure S2</w:t>
      </w:r>
      <w:r w:rsidRPr="00C5441C">
        <w:rPr>
          <w:rFonts w:asciiTheme="majorBidi" w:hAnsiTheme="majorBidi" w:cstheme="majorBidi"/>
          <w:sz w:val="20"/>
          <w:szCs w:val="20"/>
        </w:rPr>
        <w:t>. Calibration curve of 4,5-dibromo fluorescein (DBF).</w:t>
      </w:r>
    </w:p>
    <w:p w14:paraId="24B0B2A4" w14:textId="1D2F3464" w:rsidR="001138D1" w:rsidRDefault="001138D1" w:rsidP="00FE6754">
      <w:pPr>
        <w:jc w:val="center"/>
      </w:pPr>
      <w:r>
        <w:rPr>
          <w:noProof/>
        </w:rPr>
        <w:drawing>
          <wp:inline distT="0" distB="0" distL="0" distR="0" wp14:anchorId="2A07DB37" wp14:editId="0A71A4F3">
            <wp:extent cx="5943600" cy="2924175"/>
            <wp:effectExtent l="0" t="0" r="0" b="9525"/>
            <wp:docPr id="1" name="صورة 1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 descr="A graph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C112A" w14:textId="77777777" w:rsidR="001138D1" w:rsidRDefault="001138D1" w:rsidP="001138D1">
      <w:pPr>
        <w:jc w:val="center"/>
      </w:pPr>
      <w:r>
        <w:rPr>
          <w:noProof/>
        </w:rPr>
        <w:lastRenderedPageBreak/>
        <w:drawing>
          <wp:inline distT="0" distB="0" distL="0" distR="0" wp14:anchorId="44D1BB32" wp14:editId="3D073A7E">
            <wp:extent cx="5943600" cy="2847975"/>
            <wp:effectExtent l="0" t="0" r="0" b="9525"/>
            <wp:docPr id="341782687" name="صورة 3" descr="A graph of 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صورة 3" descr="A graph of a graph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B3F4A" w14:textId="068A2EE5" w:rsidR="001138D1" w:rsidRPr="00D67905" w:rsidRDefault="001138D1" w:rsidP="001138D1">
      <w:pPr>
        <w:rPr>
          <w:rFonts w:ascii="Times New Roman" w:hAnsi="Times New Roman" w:cs="Times New Roman"/>
        </w:rPr>
      </w:pPr>
      <w:r w:rsidRPr="00D67905">
        <w:rPr>
          <w:rFonts w:ascii="Times New Roman" w:hAnsi="Times New Roman" w:cs="Times New Roman"/>
          <w:b/>
          <w:bCs/>
        </w:rPr>
        <w:t xml:space="preserve">Figure </w:t>
      </w:r>
      <w:r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3</w:t>
      </w:r>
      <w:r w:rsidRPr="00D67905">
        <w:rPr>
          <w:rFonts w:ascii="Times New Roman" w:hAnsi="Times New Roman" w:cs="Times New Roman"/>
          <w:b/>
          <w:bCs/>
        </w:rPr>
        <w:t>.</w:t>
      </w:r>
      <w:r w:rsidRPr="00D67905">
        <w:rPr>
          <w:rFonts w:ascii="Times New Roman" w:hAnsi="Times New Roman" w:cs="Times New Roman"/>
        </w:rPr>
        <w:t xml:space="preserve"> </w:t>
      </w:r>
      <w:r w:rsidRPr="00386377">
        <w:rPr>
          <w:rFonts w:ascii="Times New Roman" w:hAnsi="Times New Roman" w:cs="Times New Roman"/>
        </w:rPr>
        <w:t>Fluorescence emission spectra of 4,5-dibromo fluorescein (DBF, curve A) and its ion-pair complexes with (a) captopril at 4 µg/mL (B), 8 µg/mL (C), and 12 µg/mL (D), and (b) clopidogrel bisulfate at 4 µg/mL (B), 8 µg/mL (C), and 12 µg/mL (D). All measurements were performed at λex = 330 nm</w:t>
      </w:r>
      <w:r w:rsidRPr="00D67905">
        <w:rPr>
          <w:rFonts w:ascii="Times New Roman" w:hAnsi="Times New Roman" w:cs="Times New Roman"/>
        </w:rPr>
        <w:t>.</w:t>
      </w:r>
    </w:p>
    <w:p w14:paraId="55792C98" w14:textId="77777777" w:rsidR="001138D1" w:rsidRPr="00C449A7" w:rsidRDefault="001138D1" w:rsidP="0008513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6A9E9B9E" w14:textId="77777777" w:rsidR="00B53399" w:rsidRDefault="00B53399" w:rsidP="00B53399">
      <w:pPr>
        <w:jc w:val="center"/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noProof/>
        </w:rPr>
        <w:drawing>
          <wp:inline distT="0" distB="0" distL="0" distR="0" wp14:anchorId="5B24683F" wp14:editId="0A67760D">
            <wp:extent cx="4445000" cy="2472855"/>
            <wp:effectExtent l="0" t="0" r="0" b="3810"/>
            <wp:docPr id="6" name="مخطط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1C4EF7D" w14:textId="70356D8C" w:rsidR="00B53399" w:rsidRDefault="004F6A52" w:rsidP="00B53399">
      <w:pPr>
        <w:spacing w:after="0" w:line="240" w:lineRule="auto"/>
        <w:ind w:firstLine="180"/>
        <w:jc w:val="center"/>
        <w:rPr>
          <w:rFonts w:ascii="Times New Roman" w:hAnsi="Times New Roman" w:cs="Simplified Arabic"/>
          <w:sz w:val="20"/>
          <w:szCs w:val="20"/>
          <w:lang w:bidi="ar-IQ"/>
        </w:rPr>
      </w:pPr>
      <w:r w:rsidRPr="004F6A52">
        <w:rPr>
          <w:rFonts w:ascii="Times New Roman" w:hAnsi="Times New Roman" w:cs="Simplified Arabic"/>
          <w:b/>
          <w:bCs/>
          <w:sz w:val="20"/>
          <w:szCs w:val="20"/>
          <w:lang w:bidi="ar-IQ"/>
        </w:rPr>
        <w:t>Figure S</w:t>
      </w:r>
      <w:r w:rsidR="001138D1">
        <w:rPr>
          <w:rFonts w:ascii="Times New Roman" w:hAnsi="Times New Roman" w:cs="Simplified Arabic"/>
          <w:b/>
          <w:bCs/>
          <w:sz w:val="20"/>
          <w:szCs w:val="20"/>
          <w:lang w:bidi="ar-IQ"/>
        </w:rPr>
        <w:t>4</w:t>
      </w:r>
      <w:r w:rsidRPr="004F6A52">
        <w:rPr>
          <w:rFonts w:ascii="Times New Roman" w:hAnsi="Times New Roman" w:cs="Simplified Arabic"/>
          <w:b/>
          <w:bCs/>
          <w:sz w:val="20"/>
          <w:szCs w:val="20"/>
          <w:lang w:bidi="ar-IQ"/>
        </w:rPr>
        <w:t xml:space="preserve">. </w:t>
      </w:r>
      <w:r w:rsidRPr="004F6A52">
        <w:rPr>
          <w:rFonts w:ascii="Times New Roman" w:hAnsi="Times New Roman" w:cs="Simplified Arabic"/>
          <w:sz w:val="20"/>
          <w:szCs w:val="20"/>
          <w:lang w:bidi="ar-IQ"/>
        </w:rPr>
        <w:t>Standard calibration curves for captopril (CPL) and clopidogrel bisulfate (CLO) obtained using the proposed spectrofluorimetric method with 4,5-dibromo fluorescein (DBF) as the fluorescent reagent. Fluorescence quenching (ΔF) was measured at λ_ex = 330 nm and λ_em = 540 nm over the concentration ranges 0.4–14 µg/mL (CPL) and 0.4–8 µg/mL (CLO).</w:t>
      </w:r>
    </w:p>
    <w:p w14:paraId="69DE80FD" w14:textId="77777777" w:rsidR="00C449A7" w:rsidRPr="00B45227" w:rsidRDefault="00C449A7" w:rsidP="00B53399">
      <w:pPr>
        <w:spacing w:after="0" w:line="240" w:lineRule="auto"/>
        <w:ind w:firstLine="180"/>
        <w:jc w:val="center"/>
        <w:rPr>
          <w:rFonts w:ascii="Times New Roman" w:hAnsi="Times New Roman" w:cs="Simplified Arabic"/>
          <w:sz w:val="20"/>
          <w:szCs w:val="20"/>
          <w:lang w:bidi="ar-IQ"/>
        </w:rPr>
      </w:pPr>
    </w:p>
    <w:p w14:paraId="1A68FEEC" w14:textId="77777777" w:rsidR="00E37B5B" w:rsidRDefault="00E37B5B" w:rsidP="00E37B5B">
      <w:pPr>
        <w:jc w:val="center"/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noProof/>
        </w:rPr>
        <w:lastRenderedPageBreak/>
        <w:drawing>
          <wp:inline distT="0" distB="0" distL="0" distR="0" wp14:anchorId="036EF4BA" wp14:editId="1FEE0285">
            <wp:extent cx="4961299" cy="1892174"/>
            <wp:effectExtent l="0" t="0" r="0" b="0"/>
            <wp:docPr id="21" name="صورة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صورة 2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552" cy="1901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85915" w14:textId="736855D3" w:rsidR="00E37B5B" w:rsidRDefault="00CF494D" w:rsidP="00E37B5B">
      <w:pPr>
        <w:spacing w:after="0" w:line="240" w:lineRule="auto"/>
        <w:ind w:firstLine="180"/>
        <w:jc w:val="center"/>
        <w:rPr>
          <w:rFonts w:ascii="Times New Roman" w:hAnsi="Times New Roman" w:cs="Simplified Arabic"/>
          <w:b/>
          <w:bCs/>
          <w:sz w:val="20"/>
          <w:szCs w:val="20"/>
          <w:lang w:bidi="ar-IQ"/>
        </w:rPr>
      </w:pPr>
      <w:r w:rsidRPr="00CF494D">
        <w:rPr>
          <w:rFonts w:ascii="Times New Roman" w:hAnsi="Times New Roman" w:cs="Simplified Arabic"/>
          <w:b/>
          <w:bCs/>
          <w:sz w:val="20"/>
          <w:szCs w:val="20"/>
          <w:lang w:bidi="ar-IQ"/>
        </w:rPr>
        <w:t>Figure S</w:t>
      </w:r>
      <w:r w:rsidR="00C71750">
        <w:rPr>
          <w:rFonts w:ascii="Times New Roman" w:hAnsi="Times New Roman" w:cs="Simplified Arabic"/>
          <w:b/>
          <w:bCs/>
          <w:sz w:val="20"/>
          <w:szCs w:val="20"/>
          <w:lang w:bidi="ar-IQ"/>
        </w:rPr>
        <w:t>5</w:t>
      </w:r>
      <w:r w:rsidRPr="00CF494D">
        <w:rPr>
          <w:rFonts w:ascii="Times New Roman" w:hAnsi="Times New Roman" w:cs="Simplified Arabic"/>
          <w:b/>
          <w:bCs/>
          <w:sz w:val="20"/>
          <w:szCs w:val="20"/>
          <w:lang w:bidi="ar-IQ"/>
        </w:rPr>
        <w:t xml:space="preserve">. </w:t>
      </w:r>
      <w:r w:rsidRPr="00CF494D">
        <w:rPr>
          <w:rFonts w:ascii="Times New Roman" w:hAnsi="Times New Roman" w:cs="Simplified Arabic"/>
          <w:sz w:val="20"/>
          <w:szCs w:val="20"/>
          <w:lang w:bidi="ar-IQ"/>
        </w:rPr>
        <w:t>Continuous variation (Job’s method) plots for the complexes of captopril (CPL) and clopidogrel bisulfate (CLO) with 4,5-dibromo fluorescein (DBF).</w:t>
      </w:r>
    </w:p>
    <w:p w14:paraId="5A101342" w14:textId="77777777" w:rsidR="00CF494D" w:rsidRPr="00B45227" w:rsidRDefault="00CF494D" w:rsidP="00E37B5B">
      <w:pPr>
        <w:spacing w:after="0" w:line="240" w:lineRule="auto"/>
        <w:ind w:firstLine="180"/>
        <w:jc w:val="center"/>
        <w:rPr>
          <w:rFonts w:ascii="Times New Roman" w:hAnsi="Times New Roman" w:cs="Simplified Arabic"/>
          <w:sz w:val="20"/>
          <w:szCs w:val="20"/>
          <w:lang w:bidi="ar-IQ"/>
        </w:rPr>
      </w:pPr>
    </w:p>
    <w:p w14:paraId="604E610E" w14:textId="77777777" w:rsidR="00E37B5B" w:rsidRDefault="00E37B5B" w:rsidP="00E37B5B">
      <w:pPr>
        <w:jc w:val="center"/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noProof/>
        </w:rPr>
        <w:drawing>
          <wp:inline distT="0" distB="0" distL="0" distR="0" wp14:anchorId="28D0E2A9" wp14:editId="01D74251">
            <wp:extent cx="4913906" cy="1447137"/>
            <wp:effectExtent l="0" t="0" r="1270" b="1270"/>
            <wp:docPr id="22" name="صورة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صورة 2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757" cy="1458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B8020" w14:textId="2735554F" w:rsidR="00E37B5B" w:rsidRPr="00C449A7" w:rsidRDefault="00F21490" w:rsidP="00E37B5B">
      <w:pPr>
        <w:jc w:val="center"/>
        <w:rPr>
          <w:rFonts w:asciiTheme="majorBidi" w:hAnsiTheme="majorBidi" w:cstheme="majorBidi"/>
          <w:sz w:val="20"/>
          <w:szCs w:val="20"/>
        </w:rPr>
      </w:pPr>
      <w:r w:rsidRPr="00F21490">
        <w:rPr>
          <w:rFonts w:asciiTheme="majorBidi" w:hAnsiTheme="majorBidi" w:cstheme="majorBidi"/>
          <w:b/>
          <w:bCs/>
          <w:sz w:val="20"/>
          <w:szCs w:val="20"/>
        </w:rPr>
        <w:t>Figure S</w:t>
      </w:r>
      <w:r w:rsidR="00C71750">
        <w:rPr>
          <w:rFonts w:asciiTheme="majorBidi" w:hAnsiTheme="majorBidi" w:cstheme="majorBidi"/>
          <w:b/>
          <w:bCs/>
          <w:sz w:val="20"/>
          <w:szCs w:val="20"/>
        </w:rPr>
        <w:t>6</w:t>
      </w:r>
      <w:r w:rsidRPr="00F21490">
        <w:rPr>
          <w:rFonts w:asciiTheme="majorBidi" w:hAnsiTheme="majorBidi" w:cstheme="majorBidi"/>
          <w:b/>
          <w:bCs/>
          <w:sz w:val="20"/>
          <w:szCs w:val="20"/>
        </w:rPr>
        <w:t xml:space="preserve">. </w:t>
      </w:r>
      <w:r w:rsidRPr="00F21490">
        <w:rPr>
          <w:rFonts w:asciiTheme="majorBidi" w:hAnsiTheme="majorBidi" w:cstheme="majorBidi"/>
          <w:sz w:val="20"/>
          <w:szCs w:val="20"/>
        </w:rPr>
        <w:t>Molar ratio plots for the interaction of captopril (CPL) and clopidogrel bisulfate (CLO) with 4,5-dibromo fluorescein (DBF). The diagrams further support a 1:1 stoichiometry for the drug–dye complexes.</w:t>
      </w:r>
    </w:p>
    <w:p w14:paraId="5C6B87CF" w14:textId="107CF88B" w:rsidR="001369C0" w:rsidRDefault="00CC380C" w:rsidP="00FE6754">
      <w:pPr>
        <w:jc w:val="center"/>
      </w:pPr>
      <w:r>
        <w:t xml:space="preserve"> </w:t>
      </w:r>
      <w:r w:rsidR="000D3EA1">
        <w:object w:dxaOrig="4545" w:dyaOrig="5655" w14:anchorId="75F15C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1.75pt;height:228.1pt" o:ole="">
            <v:imagedata r:id="rId11" o:title=""/>
          </v:shape>
          <o:OLEObject Type="Embed" ProgID="ChemDraw.Document.6.0" ShapeID="_x0000_i1025" DrawAspect="Content" ObjectID="_1820083867" r:id="rId12"/>
        </w:object>
      </w:r>
      <w:r w:rsidR="000D3EA1">
        <w:object w:dxaOrig="8205" w:dyaOrig="11595" w14:anchorId="044C15F3">
          <v:shape id="_x0000_i1026" type="#_x0000_t75" style="width:189.6pt;height:216.7pt" o:ole="">
            <v:imagedata r:id="rId13" o:title=""/>
          </v:shape>
          <o:OLEObject Type="Embed" ProgID="ChemDraw.Document.6.0" ShapeID="_x0000_i1026" DrawAspect="Content" ObjectID="_1820083868" r:id="rId14"/>
        </w:object>
      </w:r>
    </w:p>
    <w:p w14:paraId="0FE7380F" w14:textId="77777777" w:rsidR="00FE6754" w:rsidRDefault="00FE6754" w:rsidP="00FE6754">
      <w:pPr>
        <w:jc w:val="center"/>
      </w:pPr>
    </w:p>
    <w:p w14:paraId="32F8D534" w14:textId="13189128" w:rsidR="00FE6754" w:rsidRPr="00FE6754" w:rsidRDefault="00FE6754" w:rsidP="00FE6754">
      <w:pPr>
        <w:jc w:val="center"/>
        <w:rPr>
          <w:rFonts w:asciiTheme="majorBidi" w:hAnsiTheme="majorBidi" w:cstheme="majorBidi"/>
          <w:sz w:val="20"/>
          <w:szCs w:val="20"/>
        </w:rPr>
      </w:pPr>
      <w:r w:rsidRPr="00FE6754">
        <w:rPr>
          <w:rFonts w:asciiTheme="majorBidi" w:hAnsiTheme="majorBidi" w:cstheme="majorBidi"/>
          <w:b/>
          <w:bCs/>
          <w:sz w:val="20"/>
          <w:szCs w:val="20"/>
        </w:rPr>
        <w:t xml:space="preserve">Figure </w:t>
      </w:r>
      <w:r w:rsidRPr="00FE6754">
        <w:rPr>
          <w:rFonts w:asciiTheme="majorBidi" w:hAnsiTheme="majorBidi" w:cstheme="majorBidi"/>
          <w:b/>
          <w:bCs/>
          <w:sz w:val="20"/>
          <w:szCs w:val="20"/>
        </w:rPr>
        <w:t>S7</w:t>
      </w:r>
      <w:r w:rsidRPr="00FE6754">
        <w:rPr>
          <w:rFonts w:asciiTheme="majorBidi" w:hAnsiTheme="majorBidi" w:cstheme="majorBidi"/>
          <w:b/>
          <w:bCs/>
          <w:sz w:val="20"/>
          <w:szCs w:val="20"/>
        </w:rPr>
        <w:t>.</w:t>
      </w:r>
      <w:r w:rsidRPr="00FE6754">
        <w:rPr>
          <w:rFonts w:asciiTheme="majorBidi" w:hAnsiTheme="majorBidi" w:cstheme="majorBidi"/>
          <w:sz w:val="20"/>
          <w:szCs w:val="20"/>
        </w:rPr>
        <w:t xml:space="preserve"> Proposed interaction mechanism between captopril (A) and clopidogrel bisulfate (B) and 4,5-dibromo fluorescein (DBF), illustrating ion-pair complex formation. </w:t>
      </w:r>
    </w:p>
    <w:p w14:paraId="09DD3096" w14:textId="3B12B6E0" w:rsidR="00B263E0" w:rsidRDefault="00B263E0" w:rsidP="00B263E0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noProof/>
        </w:rPr>
        <w:lastRenderedPageBreak/>
        <w:drawing>
          <wp:inline distT="0" distB="0" distL="0" distR="0" wp14:anchorId="7CEDA8DC" wp14:editId="4473F629">
            <wp:extent cx="2743200" cy="1618564"/>
            <wp:effectExtent l="0" t="0" r="0" b="1270"/>
            <wp:docPr id="23" name="صورة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صورة 23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18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B74EA6" wp14:editId="26510249">
            <wp:extent cx="2743200" cy="1585795"/>
            <wp:effectExtent l="0" t="0" r="0" b="0"/>
            <wp:docPr id="24" name="صورة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صورة 24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58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7BCDF" w14:textId="34AD0387" w:rsidR="00B263E0" w:rsidRPr="00737B22" w:rsidRDefault="00B263E0" w:rsidP="00B263E0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  <w:lang w:val="ru-RU" w:bidi="ar-IQ"/>
        </w:rPr>
      </w:pPr>
      <w:r>
        <w:rPr>
          <w:noProof/>
        </w:rPr>
        <w:drawing>
          <wp:inline distT="0" distB="0" distL="0" distR="0" wp14:anchorId="0CD1650B" wp14:editId="581E0527">
            <wp:extent cx="2743200" cy="1567543"/>
            <wp:effectExtent l="0" t="0" r="0" b="0"/>
            <wp:docPr id="25" name="صورة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صورة 25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567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B87ED0" wp14:editId="43BDF4AB">
            <wp:extent cx="2743200" cy="1545361"/>
            <wp:effectExtent l="0" t="0" r="0" b="0"/>
            <wp:docPr id="26" name="صورة 26" descr="A graph of a function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صورة 26" descr="A graph of a function&#10;&#10;AI-generated content may be incorrect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545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EF07F" w14:textId="31B45D5A" w:rsidR="00C4299B" w:rsidRDefault="000C1227" w:rsidP="000D3EA1">
      <w:pPr>
        <w:jc w:val="center"/>
        <w:rPr>
          <w:rFonts w:asciiTheme="majorBidi" w:hAnsiTheme="majorBidi" w:cstheme="majorBidi"/>
          <w:sz w:val="20"/>
          <w:szCs w:val="20"/>
        </w:rPr>
      </w:pPr>
      <w:r w:rsidRPr="000C1227">
        <w:rPr>
          <w:rFonts w:asciiTheme="majorBidi" w:hAnsiTheme="majorBidi" w:cstheme="majorBidi"/>
          <w:b/>
          <w:bCs/>
          <w:sz w:val="20"/>
          <w:szCs w:val="20"/>
        </w:rPr>
        <w:t>Figure S</w:t>
      </w:r>
      <w:r w:rsidR="00A91117">
        <w:rPr>
          <w:rFonts w:asciiTheme="majorBidi" w:hAnsiTheme="majorBidi" w:cstheme="majorBidi"/>
          <w:b/>
          <w:bCs/>
          <w:sz w:val="20"/>
          <w:szCs w:val="20"/>
        </w:rPr>
        <w:t>8</w:t>
      </w:r>
      <w:r w:rsidRPr="000C1227">
        <w:rPr>
          <w:rFonts w:asciiTheme="majorBidi" w:hAnsiTheme="majorBidi" w:cstheme="majorBidi"/>
          <w:b/>
          <w:bCs/>
          <w:sz w:val="20"/>
          <w:szCs w:val="20"/>
        </w:rPr>
        <w:t>.</w:t>
      </w:r>
      <w:r w:rsidRPr="000C1227">
        <w:rPr>
          <w:rFonts w:asciiTheme="majorBidi" w:hAnsiTheme="majorBidi" w:cstheme="majorBidi"/>
          <w:sz w:val="20"/>
          <w:szCs w:val="20"/>
        </w:rPr>
        <w:t xml:space="preserve"> Standard addition calibration plots for the determination of captopril (CPL) and clopidogrel bisulfate (CLO) in commercial tablet formulations using the proposed spectrofluorimetric method.</w:t>
      </w:r>
      <w:r w:rsidRPr="000C1227">
        <w:rPr>
          <w:rFonts w:asciiTheme="majorBidi" w:hAnsiTheme="majorBidi" w:cstheme="majorBidi"/>
          <w:sz w:val="20"/>
          <w:szCs w:val="20"/>
        </w:rPr>
        <w:br/>
        <w:t>(A) Captopril tablets (Iraq, 25 mg),</w:t>
      </w:r>
      <w:r w:rsidRPr="000C1227">
        <w:rPr>
          <w:rFonts w:asciiTheme="majorBidi" w:hAnsiTheme="majorBidi" w:cstheme="majorBidi"/>
          <w:sz w:val="20"/>
          <w:szCs w:val="20"/>
        </w:rPr>
        <w:br/>
        <w:t>(B) Captopril tablets (Cyprus, 50 mg),</w:t>
      </w:r>
      <w:r w:rsidRPr="000C1227">
        <w:rPr>
          <w:rFonts w:asciiTheme="majorBidi" w:hAnsiTheme="majorBidi" w:cstheme="majorBidi"/>
          <w:sz w:val="20"/>
          <w:szCs w:val="20"/>
        </w:rPr>
        <w:br/>
        <w:t>(C) Clopidogrel bisulfate tablets (Iraq, 75 mg),</w:t>
      </w:r>
      <w:r w:rsidRPr="000C1227">
        <w:rPr>
          <w:rFonts w:asciiTheme="majorBidi" w:hAnsiTheme="majorBidi" w:cstheme="majorBidi"/>
          <w:sz w:val="20"/>
          <w:szCs w:val="20"/>
        </w:rPr>
        <w:br/>
        <w:t>(D) Clopidogrel bisulfate tablets (India, 75 mg).</w:t>
      </w:r>
      <w:r w:rsidRPr="000C1227">
        <w:rPr>
          <w:rFonts w:asciiTheme="majorBidi" w:hAnsiTheme="majorBidi" w:cstheme="majorBidi"/>
          <w:sz w:val="20"/>
          <w:szCs w:val="20"/>
        </w:rPr>
        <w:br/>
        <w:t>Each plot shows the linear relationship between fluorescence quenching (ΔF) and drug concentration at different spiking levels, confirming the accuracy of the standard addition method (R² ≥ 0.995 for all cases).</w:t>
      </w:r>
    </w:p>
    <w:p w14:paraId="75C98691" w14:textId="77777777" w:rsidR="00A0445D" w:rsidRDefault="00A0445D" w:rsidP="000D3EA1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38CB2DAE" w14:textId="663386D3" w:rsidR="00A0445D" w:rsidRPr="000A163D" w:rsidRDefault="00A0445D" w:rsidP="00A0445D">
      <w:pPr>
        <w:rPr>
          <w:rFonts w:ascii="Times New Roman" w:hAnsi="Times New Roman" w:cs="Times New Roman"/>
        </w:rPr>
      </w:pPr>
      <w:r w:rsidRPr="000A163D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S1</w:t>
      </w:r>
      <w:r w:rsidRPr="000A163D">
        <w:rPr>
          <w:rFonts w:ascii="Times New Roman" w:hAnsi="Times New Roman" w:cs="Times New Roman"/>
          <w:b/>
          <w:bCs/>
        </w:rPr>
        <w:t>.</w:t>
      </w:r>
      <w:r w:rsidRPr="000A163D">
        <w:rPr>
          <w:rFonts w:ascii="Times New Roman" w:hAnsi="Times New Roman" w:cs="Times New Roman"/>
        </w:rPr>
        <w:t xml:space="preserve"> Comparison of analytical variables for the proposed method with </w:t>
      </w:r>
      <w:r>
        <w:rPr>
          <w:rFonts w:ascii="Times New Roman" w:hAnsi="Times New Roman" w:cs="Times New Roman"/>
        </w:rPr>
        <w:t>those in the literature</w:t>
      </w:r>
      <w:r w:rsidRPr="000A163D">
        <w:rPr>
          <w:rFonts w:ascii="Times New Roman" w:hAnsi="Times New Roman" w:cs="Times New Roman"/>
        </w:rPr>
        <w:t>.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2"/>
        <w:gridCol w:w="1841"/>
        <w:gridCol w:w="2143"/>
        <w:gridCol w:w="1522"/>
        <w:gridCol w:w="1862"/>
      </w:tblGrid>
      <w:tr w:rsidR="00A0445D" w:rsidRPr="000A163D" w14:paraId="517F3E8B" w14:textId="77777777" w:rsidTr="0063040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5A42D9F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A163D">
              <w:rPr>
                <w:rFonts w:ascii="Times New Roman" w:hAnsi="Times New Roman" w:cs="Times New Roman"/>
                <w:b/>
                <w:bCs/>
              </w:rPr>
              <w:t>Parameter</w:t>
            </w:r>
          </w:p>
        </w:tc>
        <w:tc>
          <w:tcPr>
            <w:tcW w:w="0" w:type="auto"/>
            <w:vAlign w:val="center"/>
            <w:hideMark/>
          </w:tcPr>
          <w:p w14:paraId="66771C8D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A163D">
              <w:rPr>
                <w:rFonts w:ascii="Times New Roman" w:hAnsi="Times New Roman" w:cs="Times New Roman"/>
                <w:b/>
                <w:bCs/>
              </w:rPr>
              <w:t>Captopril – Proposed</w:t>
            </w:r>
          </w:p>
        </w:tc>
        <w:tc>
          <w:tcPr>
            <w:tcW w:w="0" w:type="auto"/>
            <w:vAlign w:val="center"/>
            <w:hideMark/>
          </w:tcPr>
          <w:p w14:paraId="028F4DBB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A163D">
              <w:rPr>
                <w:rFonts w:ascii="Times New Roman" w:hAnsi="Times New Roman" w:cs="Times New Roman"/>
                <w:b/>
                <w:bCs/>
              </w:rPr>
              <w:t>Captopril – Literature [7]</w:t>
            </w:r>
          </w:p>
        </w:tc>
        <w:tc>
          <w:tcPr>
            <w:tcW w:w="0" w:type="auto"/>
            <w:vAlign w:val="center"/>
            <w:hideMark/>
          </w:tcPr>
          <w:p w14:paraId="4EA59FC0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A163D">
              <w:rPr>
                <w:rFonts w:ascii="Times New Roman" w:hAnsi="Times New Roman" w:cs="Times New Roman"/>
                <w:b/>
                <w:bCs/>
              </w:rPr>
              <w:t>CLO – Proposed</w:t>
            </w:r>
          </w:p>
        </w:tc>
        <w:tc>
          <w:tcPr>
            <w:tcW w:w="0" w:type="auto"/>
            <w:vAlign w:val="center"/>
            <w:hideMark/>
          </w:tcPr>
          <w:p w14:paraId="42EE7805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A163D">
              <w:rPr>
                <w:rFonts w:ascii="Times New Roman" w:hAnsi="Times New Roman" w:cs="Times New Roman"/>
                <w:b/>
                <w:bCs/>
              </w:rPr>
              <w:t>CLO – Literature [33]</w:t>
            </w:r>
          </w:p>
        </w:tc>
      </w:tr>
      <w:tr w:rsidR="00A0445D" w:rsidRPr="000A163D" w14:paraId="57D07C38" w14:textId="77777777" w:rsidTr="006304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8F3576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Remarks</w:t>
            </w:r>
          </w:p>
        </w:tc>
        <w:tc>
          <w:tcPr>
            <w:tcW w:w="0" w:type="auto"/>
            <w:vAlign w:val="center"/>
            <w:hideMark/>
          </w:tcPr>
          <w:p w14:paraId="2602B6FA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Fluorescence</w:t>
            </w:r>
          </w:p>
        </w:tc>
        <w:tc>
          <w:tcPr>
            <w:tcW w:w="0" w:type="auto"/>
            <w:vAlign w:val="center"/>
            <w:hideMark/>
          </w:tcPr>
          <w:p w14:paraId="513256C2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Fluorescence</w:t>
            </w:r>
          </w:p>
        </w:tc>
        <w:tc>
          <w:tcPr>
            <w:tcW w:w="0" w:type="auto"/>
            <w:vAlign w:val="center"/>
            <w:hideMark/>
          </w:tcPr>
          <w:p w14:paraId="13372453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Fluorescence</w:t>
            </w:r>
          </w:p>
        </w:tc>
        <w:tc>
          <w:tcPr>
            <w:tcW w:w="0" w:type="auto"/>
            <w:vAlign w:val="center"/>
            <w:hideMark/>
          </w:tcPr>
          <w:p w14:paraId="45794172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Charge-transfer</w:t>
            </w:r>
          </w:p>
        </w:tc>
      </w:tr>
      <w:tr w:rsidR="00A0445D" w:rsidRPr="000A163D" w14:paraId="6924A3C8" w14:textId="77777777" w:rsidTr="006304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3A46F5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Reagent used</w:t>
            </w:r>
          </w:p>
        </w:tc>
        <w:tc>
          <w:tcPr>
            <w:tcW w:w="0" w:type="auto"/>
            <w:vAlign w:val="center"/>
            <w:hideMark/>
          </w:tcPr>
          <w:p w14:paraId="7AC1244E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DBF</w:t>
            </w:r>
          </w:p>
        </w:tc>
        <w:tc>
          <w:tcPr>
            <w:tcW w:w="0" w:type="auto"/>
            <w:vAlign w:val="center"/>
            <w:hideMark/>
          </w:tcPr>
          <w:p w14:paraId="5E9AB58D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Ortho-phthaldehyde</w:t>
            </w:r>
          </w:p>
        </w:tc>
        <w:tc>
          <w:tcPr>
            <w:tcW w:w="0" w:type="auto"/>
            <w:vAlign w:val="center"/>
            <w:hideMark/>
          </w:tcPr>
          <w:p w14:paraId="7033CDBE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DBF</w:t>
            </w:r>
          </w:p>
        </w:tc>
        <w:tc>
          <w:tcPr>
            <w:tcW w:w="0" w:type="auto"/>
            <w:vAlign w:val="center"/>
            <w:hideMark/>
          </w:tcPr>
          <w:p w14:paraId="0E68E4F8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Chloranel</w:t>
            </w:r>
          </w:p>
        </w:tc>
      </w:tr>
      <w:tr w:rsidR="00A0445D" w:rsidRPr="000A163D" w14:paraId="629EE315" w14:textId="77777777" w:rsidTr="006304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AC1782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λ_ex (nm)</w:t>
            </w:r>
          </w:p>
        </w:tc>
        <w:tc>
          <w:tcPr>
            <w:tcW w:w="0" w:type="auto"/>
            <w:vAlign w:val="center"/>
            <w:hideMark/>
          </w:tcPr>
          <w:p w14:paraId="0E0EA6A1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330</w:t>
            </w:r>
          </w:p>
        </w:tc>
        <w:tc>
          <w:tcPr>
            <w:tcW w:w="0" w:type="auto"/>
            <w:vAlign w:val="center"/>
            <w:hideMark/>
          </w:tcPr>
          <w:p w14:paraId="631B1E24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334</w:t>
            </w:r>
          </w:p>
        </w:tc>
        <w:tc>
          <w:tcPr>
            <w:tcW w:w="0" w:type="auto"/>
            <w:vAlign w:val="center"/>
            <w:hideMark/>
          </w:tcPr>
          <w:p w14:paraId="22603900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330</w:t>
            </w:r>
          </w:p>
        </w:tc>
        <w:tc>
          <w:tcPr>
            <w:tcW w:w="0" w:type="auto"/>
            <w:vAlign w:val="center"/>
            <w:hideMark/>
          </w:tcPr>
          <w:p w14:paraId="60777A62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—</w:t>
            </w:r>
          </w:p>
        </w:tc>
      </w:tr>
      <w:tr w:rsidR="00A0445D" w:rsidRPr="000A163D" w14:paraId="5428A9F7" w14:textId="77777777" w:rsidTr="006304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7A8289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λ_em (nm)</w:t>
            </w:r>
          </w:p>
        </w:tc>
        <w:tc>
          <w:tcPr>
            <w:tcW w:w="0" w:type="auto"/>
            <w:vAlign w:val="center"/>
            <w:hideMark/>
          </w:tcPr>
          <w:p w14:paraId="6AEE7671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0" w:type="auto"/>
            <w:vAlign w:val="center"/>
            <w:hideMark/>
          </w:tcPr>
          <w:p w14:paraId="5942C17D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448</w:t>
            </w:r>
          </w:p>
        </w:tc>
        <w:tc>
          <w:tcPr>
            <w:tcW w:w="0" w:type="auto"/>
            <w:vAlign w:val="center"/>
            <w:hideMark/>
          </w:tcPr>
          <w:p w14:paraId="7105BCBD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0" w:type="auto"/>
            <w:vAlign w:val="center"/>
            <w:hideMark/>
          </w:tcPr>
          <w:p w14:paraId="042680D2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—</w:t>
            </w:r>
          </w:p>
        </w:tc>
      </w:tr>
      <w:tr w:rsidR="00A0445D" w:rsidRPr="000A163D" w14:paraId="523D0AAE" w14:textId="77777777" w:rsidTr="006304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0D52FB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Linearity range (µg/mL)</w:t>
            </w:r>
          </w:p>
        </w:tc>
        <w:tc>
          <w:tcPr>
            <w:tcW w:w="0" w:type="auto"/>
            <w:vAlign w:val="center"/>
            <w:hideMark/>
          </w:tcPr>
          <w:p w14:paraId="15353064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0.4–14</w:t>
            </w:r>
          </w:p>
        </w:tc>
        <w:tc>
          <w:tcPr>
            <w:tcW w:w="0" w:type="auto"/>
            <w:vAlign w:val="center"/>
            <w:hideMark/>
          </w:tcPr>
          <w:p w14:paraId="348E3190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20–450</w:t>
            </w:r>
          </w:p>
        </w:tc>
        <w:tc>
          <w:tcPr>
            <w:tcW w:w="0" w:type="auto"/>
            <w:vAlign w:val="center"/>
            <w:hideMark/>
          </w:tcPr>
          <w:p w14:paraId="4E1034DB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0.4–8</w:t>
            </w:r>
          </w:p>
        </w:tc>
        <w:tc>
          <w:tcPr>
            <w:tcW w:w="0" w:type="auto"/>
            <w:vAlign w:val="center"/>
            <w:hideMark/>
          </w:tcPr>
          <w:p w14:paraId="5EC8A3B4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5–40</w:t>
            </w:r>
          </w:p>
        </w:tc>
      </w:tr>
      <w:tr w:rsidR="00A0445D" w:rsidRPr="000A163D" w14:paraId="033C78F0" w14:textId="77777777" w:rsidTr="006304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CF8A55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Correlation coefficient R²</w:t>
            </w:r>
          </w:p>
        </w:tc>
        <w:tc>
          <w:tcPr>
            <w:tcW w:w="0" w:type="auto"/>
            <w:vAlign w:val="center"/>
            <w:hideMark/>
          </w:tcPr>
          <w:p w14:paraId="56FA9F8A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0.9988</w:t>
            </w:r>
          </w:p>
        </w:tc>
        <w:tc>
          <w:tcPr>
            <w:tcW w:w="0" w:type="auto"/>
            <w:vAlign w:val="center"/>
            <w:hideMark/>
          </w:tcPr>
          <w:p w14:paraId="67C767F8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0.9993</w:t>
            </w:r>
          </w:p>
        </w:tc>
        <w:tc>
          <w:tcPr>
            <w:tcW w:w="0" w:type="auto"/>
            <w:vAlign w:val="center"/>
            <w:hideMark/>
          </w:tcPr>
          <w:p w14:paraId="67EC7214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0.9962</w:t>
            </w:r>
          </w:p>
        </w:tc>
        <w:tc>
          <w:tcPr>
            <w:tcW w:w="0" w:type="auto"/>
            <w:vAlign w:val="center"/>
            <w:hideMark/>
          </w:tcPr>
          <w:p w14:paraId="74E15310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0.9990</w:t>
            </w:r>
          </w:p>
        </w:tc>
      </w:tr>
      <w:tr w:rsidR="00A0445D" w:rsidRPr="000A163D" w14:paraId="05955567" w14:textId="77777777" w:rsidTr="006304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F846DC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LOD (µg/mL)</w:t>
            </w:r>
          </w:p>
        </w:tc>
        <w:tc>
          <w:tcPr>
            <w:tcW w:w="0" w:type="auto"/>
            <w:vAlign w:val="center"/>
            <w:hideMark/>
          </w:tcPr>
          <w:p w14:paraId="6CC33E30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0.263</w:t>
            </w:r>
          </w:p>
        </w:tc>
        <w:tc>
          <w:tcPr>
            <w:tcW w:w="0" w:type="auto"/>
            <w:vAlign w:val="center"/>
            <w:hideMark/>
          </w:tcPr>
          <w:p w14:paraId="1935A73C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0" w:type="auto"/>
            <w:vAlign w:val="center"/>
            <w:hideMark/>
          </w:tcPr>
          <w:p w14:paraId="3A5D5C93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0.061</w:t>
            </w:r>
          </w:p>
        </w:tc>
        <w:tc>
          <w:tcPr>
            <w:tcW w:w="0" w:type="auto"/>
            <w:vAlign w:val="center"/>
            <w:hideMark/>
          </w:tcPr>
          <w:p w14:paraId="2AB53A96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—</w:t>
            </w:r>
          </w:p>
        </w:tc>
      </w:tr>
      <w:tr w:rsidR="00A0445D" w:rsidRPr="000A163D" w14:paraId="586673A3" w14:textId="77777777" w:rsidTr="006304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F9F9C7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LOQ (µg/mL)</w:t>
            </w:r>
          </w:p>
        </w:tc>
        <w:tc>
          <w:tcPr>
            <w:tcW w:w="0" w:type="auto"/>
            <w:vAlign w:val="center"/>
            <w:hideMark/>
          </w:tcPr>
          <w:p w14:paraId="2CF02B53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0.796</w:t>
            </w:r>
          </w:p>
        </w:tc>
        <w:tc>
          <w:tcPr>
            <w:tcW w:w="0" w:type="auto"/>
            <w:vAlign w:val="center"/>
            <w:hideMark/>
          </w:tcPr>
          <w:p w14:paraId="14BAD570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19.5</w:t>
            </w:r>
          </w:p>
        </w:tc>
        <w:tc>
          <w:tcPr>
            <w:tcW w:w="0" w:type="auto"/>
            <w:vAlign w:val="center"/>
            <w:hideMark/>
          </w:tcPr>
          <w:p w14:paraId="5E9AEBB3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0.185</w:t>
            </w:r>
          </w:p>
        </w:tc>
        <w:tc>
          <w:tcPr>
            <w:tcW w:w="0" w:type="auto"/>
            <w:vAlign w:val="center"/>
            <w:hideMark/>
          </w:tcPr>
          <w:p w14:paraId="78510CD6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1.2</w:t>
            </w:r>
          </w:p>
        </w:tc>
      </w:tr>
      <w:tr w:rsidR="00A0445D" w:rsidRPr="000A163D" w14:paraId="571013AB" w14:textId="77777777" w:rsidTr="006304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6F24D4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Recovery (%)</w:t>
            </w:r>
          </w:p>
        </w:tc>
        <w:tc>
          <w:tcPr>
            <w:tcW w:w="0" w:type="auto"/>
            <w:vAlign w:val="center"/>
            <w:hideMark/>
          </w:tcPr>
          <w:p w14:paraId="5BE4D971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99.58</w:t>
            </w:r>
          </w:p>
        </w:tc>
        <w:tc>
          <w:tcPr>
            <w:tcW w:w="0" w:type="auto"/>
            <w:vAlign w:val="center"/>
            <w:hideMark/>
          </w:tcPr>
          <w:p w14:paraId="7576AAC6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99.88</w:t>
            </w:r>
          </w:p>
        </w:tc>
        <w:tc>
          <w:tcPr>
            <w:tcW w:w="0" w:type="auto"/>
            <w:vAlign w:val="center"/>
            <w:hideMark/>
          </w:tcPr>
          <w:p w14:paraId="64826F41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99.68</w:t>
            </w:r>
          </w:p>
        </w:tc>
        <w:tc>
          <w:tcPr>
            <w:tcW w:w="0" w:type="auto"/>
            <w:vAlign w:val="center"/>
            <w:hideMark/>
          </w:tcPr>
          <w:p w14:paraId="7AF2FE3B" w14:textId="77777777" w:rsidR="00A0445D" w:rsidRPr="000A163D" w:rsidRDefault="00A0445D" w:rsidP="006304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163D">
              <w:rPr>
                <w:rFonts w:ascii="Times New Roman" w:hAnsi="Times New Roman" w:cs="Times New Roman"/>
              </w:rPr>
              <w:t>100.75</w:t>
            </w:r>
          </w:p>
        </w:tc>
      </w:tr>
    </w:tbl>
    <w:p w14:paraId="5BF09D30" w14:textId="77777777" w:rsidR="00A0445D" w:rsidRPr="004F6A52" w:rsidRDefault="00A0445D" w:rsidP="000D3EA1">
      <w:pPr>
        <w:jc w:val="center"/>
      </w:pPr>
    </w:p>
    <w:sectPr w:rsidR="00A0445D" w:rsidRPr="004F6A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E69"/>
    <w:rsid w:val="0008513E"/>
    <w:rsid w:val="000C1227"/>
    <w:rsid w:val="000D3EA1"/>
    <w:rsid w:val="001138D1"/>
    <w:rsid w:val="001369C0"/>
    <w:rsid w:val="00335C77"/>
    <w:rsid w:val="004F6A52"/>
    <w:rsid w:val="00664854"/>
    <w:rsid w:val="00790044"/>
    <w:rsid w:val="00A0445D"/>
    <w:rsid w:val="00A91117"/>
    <w:rsid w:val="00AC224A"/>
    <w:rsid w:val="00AC3E69"/>
    <w:rsid w:val="00B263E0"/>
    <w:rsid w:val="00B53399"/>
    <w:rsid w:val="00B54850"/>
    <w:rsid w:val="00C176A9"/>
    <w:rsid w:val="00C4299B"/>
    <w:rsid w:val="00C449A7"/>
    <w:rsid w:val="00C5441C"/>
    <w:rsid w:val="00C71750"/>
    <w:rsid w:val="00CC380C"/>
    <w:rsid w:val="00CF494D"/>
    <w:rsid w:val="00D920DE"/>
    <w:rsid w:val="00E37B5B"/>
    <w:rsid w:val="00ED02AC"/>
    <w:rsid w:val="00ED7CEE"/>
    <w:rsid w:val="00F21490"/>
    <w:rsid w:val="00FE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4D7C60"/>
  <w15:chartTrackingRefBased/>
  <w15:docId w15:val="{C6899278-4715-40F1-8B13-80E90F333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24A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3E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3E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3E6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3E6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3E6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3E6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3E6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3E6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3E6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E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3E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3E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3E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3E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3E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3E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3E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3E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3E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C3E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3E6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C3E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3E6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C3E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3E69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C3E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E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E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3E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image" Target="media/image7.emf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oleObject" Target="embeddings/oleObject2.bin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emf"/><Relationship Id="rId5" Type="http://schemas.openxmlformats.org/officeDocument/2006/relationships/chart" Target="charts/chart1.xml"/><Relationship Id="rId15" Type="http://schemas.openxmlformats.org/officeDocument/2006/relationships/image" Target="media/image8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4.png"/><Relationship Id="rId14" Type="http://schemas.openxmlformats.org/officeDocument/2006/relationships/oleObject" Target="embeddings/oleObject3.bin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1575;&#1604;&#1588;&#1594;&#1604;%20&#1575;&#1604;&#1593;&#1605;&#1604;&#1610;\&#1575;&#1604;&#1601;&#1604;&#1608;&#1585;&#1577;\1-12-2024\dye%20carv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1.bin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9241081821294079"/>
          <c:y val="7.0671837662083278E-2"/>
          <c:w val="0.73761816729430563"/>
          <c:h val="0.74360142634982374"/>
        </c:manualLayout>
      </c:layout>
      <c:scatterChart>
        <c:scatterStyle val="lineMarker"/>
        <c:varyColors val="0"/>
        <c:ser>
          <c:idx val="0"/>
          <c:order val="0"/>
          <c:tx>
            <c:strRef>
              <c:f>'[dye carve.xlsx]ورقة1'!$B$1</c:f>
              <c:strCache>
                <c:ptCount val="1"/>
                <c:pt idx="0">
                  <c:v>Intensity</c:v>
                </c:pt>
              </c:strCache>
            </c:strRef>
          </c:tx>
          <c:spPr>
            <a:ln w="25400" cap="rnd">
              <a:noFill/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circle"/>
            <c:size val="6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 cap="rnd">
                <a:solidFill>
                  <a:schemeClr val="accent1"/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6.6037886568526757E-2"/>
                  <c:y val="0.25227580007127265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'[dye carve.xlsx]ورقة1'!$A$2:$A$9</c:f>
              <c:numCache>
                <c:formatCode>General</c:formatCode>
                <c:ptCount val="8"/>
                <c:pt idx="0">
                  <c:v>3</c:v>
                </c:pt>
                <c:pt idx="1">
                  <c:v>4</c:v>
                </c:pt>
                <c:pt idx="2">
                  <c:v>5</c:v>
                </c:pt>
                <c:pt idx="3">
                  <c:v>6</c:v>
                </c:pt>
                <c:pt idx="4">
                  <c:v>7</c:v>
                </c:pt>
                <c:pt idx="5">
                  <c:v>8</c:v>
                </c:pt>
                <c:pt idx="6">
                  <c:v>9</c:v>
                </c:pt>
                <c:pt idx="7">
                  <c:v>10</c:v>
                </c:pt>
              </c:numCache>
            </c:numRef>
          </c:xVal>
          <c:yVal>
            <c:numRef>
              <c:f>'[dye carve.xlsx]ورقة1'!$B$2:$B$9</c:f>
              <c:numCache>
                <c:formatCode>General</c:formatCode>
                <c:ptCount val="8"/>
                <c:pt idx="0">
                  <c:v>152</c:v>
                </c:pt>
                <c:pt idx="1">
                  <c:v>191</c:v>
                </c:pt>
                <c:pt idx="2">
                  <c:v>237</c:v>
                </c:pt>
                <c:pt idx="3">
                  <c:v>275</c:v>
                </c:pt>
                <c:pt idx="4">
                  <c:v>303</c:v>
                </c:pt>
                <c:pt idx="5">
                  <c:v>345</c:v>
                </c:pt>
                <c:pt idx="6">
                  <c:v>381</c:v>
                </c:pt>
                <c:pt idx="7">
                  <c:v>418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6AAA-48E3-B88B-DF745233C7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3189248"/>
        <c:axId val="203780480"/>
      </c:scatterChart>
      <c:valAx>
        <c:axId val="2031892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Conc. of Dye µg/mL</a:t>
                </a:r>
                <a:endParaRPr lang="ar-IQ"/>
              </a:p>
            </c:rich>
          </c:tx>
          <c:layout>
            <c:manualLayout>
              <c:xMode val="edge"/>
              <c:yMode val="edge"/>
              <c:x val="0.41375601962798131"/>
              <c:y val="0.8906941319835021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ar-IQ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3780480"/>
        <c:crosses val="autoZero"/>
        <c:crossBetween val="midCat"/>
      </c:valAx>
      <c:valAx>
        <c:axId val="2037804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Intensity</a:t>
                </a:r>
                <a:endParaRPr lang="ar-IQ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ar-IQ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3189248"/>
        <c:crosses val="autoZero"/>
        <c:crossBetween val="midCat"/>
        <c:majorUnit val="10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684605570137066"/>
          <c:y val="0.10185185185185185"/>
          <c:w val="0.73620067491563568"/>
          <c:h val="0.64920385815117942"/>
        </c:manualLayout>
      </c:layout>
      <c:scatterChart>
        <c:scatterStyle val="lineMarker"/>
        <c:varyColors val="0"/>
        <c:ser>
          <c:idx val="0"/>
          <c:order val="0"/>
          <c:tx>
            <c:v>Captopril</c:v>
          </c:tx>
          <c:spPr>
            <a:ln w="25400" cap="rnd">
              <a:noFill/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circle"/>
            <c:size val="6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 cap="rnd">
                <a:solidFill>
                  <a:schemeClr val="accent1"/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6.3735208098987625E-2"/>
                  <c:y val="0.29016932824196184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ورقة1!$A$2:$A$12</c:f>
              <c:numCache>
                <c:formatCode>General</c:formatCode>
                <c:ptCount val="11"/>
                <c:pt idx="0">
                  <c:v>0.4</c:v>
                </c:pt>
                <c:pt idx="1">
                  <c:v>0.8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6</c:v>
                </c:pt>
                <c:pt idx="6">
                  <c:v>8</c:v>
                </c:pt>
                <c:pt idx="7">
                  <c:v>10</c:v>
                </c:pt>
                <c:pt idx="8">
                  <c:v>12</c:v>
                </c:pt>
                <c:pt idx="9">
                  <c:v>14</c:v>
                </c:pt>
              </c:numCache>
            </c:numRef>
          </c:xVal>
          <c:yVal>
            <c:numRef>
              <c:f>ورقة1!$B$2:$B$12</c:f>
              <c:numCache>
                <c:formatCode>General</c:formatCode>
                <c:ptCount val="11"/>
                <c:pt idx="0">
                  <c:v>8</c:v>
                </c:pt>
                <c:pt idx="1">
                  <c:v>19</c:v>
                </c:pt>
                <c:pt idx="2">
                  <c:v>30</c:v>
                </c:pt>
                <c:pt idx="3">
                  <c:v>39</c:v>
                </c:pt>
                <c:pt idx="4">
                  <c:v>49</c:v>
                </c:pt>
                <c:pt idx="5">
                  <c:v>74</c:v>
                </c:pt>
                <c:pt idx="6">
                  <c:v>97</c:v>
                </c:pt>
                <c:pt idx="7">
                  <c:v>120</c:v>
                </c:pt>
                <c:pt idx="8">
                  <c:v>141</c:v>
                </c:pt>
                <c:pt idx="9">
                  <c:v>163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F138-4116-9345-DD44C89FF606}"/>
            </c:ext>
          </c:extLst>
        </c:ser>
        <c:ser>
          <c:idx val="1"/>
          <c:order val="1"/>
          <c:tx>
            <c:v>Clopidogrel</c:v>
          </c:tx>
          <c:spPr>
            <a:ln w="25400" cap="rnd">
              <a:noFill/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circle"/>
            <c:size val="6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 cap="rnd">
                <a:solidFill>
                  <a:schemeClr val="accent2"/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marker>
          <c:trendline>
            <c:spPr>
              <a:ln w="19050" cap="rnd">
                <a:solidFill>
                  <a:schemeClr val="accent2"/>
                </a:solidFill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8.161799775028121E-2"/>
                  <c:y val="-3.1837904820358233E-3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ورقة1!$D$2:$D$12</c:f>
              <c:numCache>
                <c:formatCode>General</c:formatCode>
                <c:ptCount val="11"/>
                <c:pt idx="0">
                  <c:v>0.4</c:v>
                </c:pt>
                <c:pt idx="1">
                  <c:v>0.8</c:v>
                </c:pt>
                <c:pt idx="2">
                  <c:v>1.2</c:v>
                </c:pt>
                <c:pt idx="3">
                  <c:v>1.6</c:v>
                </c:pt>
                <c:pt idx="4">
                  <c:v>2</c:v>
                </c:pt>
                <c:pt idx="5">
                  <c:v>3</c:v>
                </c:pt>
                <c:pt idx="6">
                  <c:v>4</c:v>
                </c:pt>
                <c:pt idx="7">
                  <c:v>5</c:v>
                </c:pt>
                <c:pt idx="8">
                  <c:v>6</c:v>
                </c:pt>
                <c:pt idx="9">
                  <c:v>7</c:v>
                </c:pt>
                <c:pt idx="10">
                  <c:v>8</c:v>
                </c:pt>
              </c:numCache>
            </c:numRef>
          </c:xVal>
          <c:yVal>
            <c:numRef>
              <c:f>ورقة1!$E$2:$E$12</c:f>
              <c:numCache>
                <c:formatCode>General</c:formatCode>
                <c:ptCount val="11"/>
                <c:pt idx="0">
                  <c:v>27</c:v>
                </c:pt>
                <c:pt idx="1">
                  <c:v>35</c:v>
                </c:pt>
                <c:pt idx="2">
                  <c:v>47</c:v>
                </c:pt>
                <c:pt idx="3">
                  <c:v>66</c:v>
                </c:pt>
                <c:pt idx="4">
                  <c:v>77</c:v>
                </c:pt>
                <c:pt idx="5">
                  <c:v>100</c:v>
                </c:pt>
                <c:pt idx="6">
                  <c:v>128</c:v>
                </c:pt>
                <c:pt idx="7">
                  <c:v>152</c:v>
                </c:pt>
                <c:pt idx="8">
                  <c:v>177</c:v>
                </c:pt>
                <c:pt idx="9">
                  <c:v>197</c:v>
                </c:pt>
                <c:pt idx="10">
                  <c:v>223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F138-4116-9345-DD44C89FF6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41624192"/>
        <c:axId val="241626112"/>
      </c:scatterChart>
      <c:valAx>
        <c:axId val="2416241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Conc. of Drugs (µg/mL)</a:t>
                </a:r>
                <a:endParaRPr lang="ar-IQ"/>
              </a:p>
            </c:rich>
          </c:tx>
          <c:layout>
            <c:manualLayout>
              <c:xMode val="edge"/>
              <c:yMode val="edge"/>
              <c:x val="0.36607964004499444"/>
              <c:y val="0.8292076650260848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ar-IQ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1626112"/>
        <c:crosses val="autoZero"/>
        <c:crossBetween val="midCat"/>
        <c:majorUnit val="2"/>
      </c:valAx>
      <c:valAx>
        <c:axId val="2416261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ΔF</a:t>
                </a:r>
                <a:endParaRPr lang="ar-IQ"/>
              </a:p>
            </c:rich>
          </c:tx>
          <c:layout>
            <c:manualLayout>
              <c:xMode val="edge"/>
              <c:yMode val="edge"/>
              <c:x val="3.4285714285714287E-2"/>
              <c:y val="0.3932723197464155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ar-IQ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162419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0.57179437570303715"/>
          <c:y val="0.89701471085231288"/>
          <c:w val="0.34783959505061868"/>
          <c:h val="8.667240940028876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4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364</Words>
  <Characters>2246</Characters>
  <Application>Microsoft Office Word</Application>
  <DocSecurity>0</DocSecurity>
  <Lines>102</Lines>
  <Paragraphs>66</Paragraphs>
  <ScaleCrop>false</ScaleCrop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Artiushenko</dc:creator>
  <cp:keywords/>
  <dc:description/>
  <cp:lastModifiedBy>Olena Artiushenko</cp:lastModifiedBy>
  <cp:revision>24</cp:revision>
  <dcterms:created xsi:type="dcterms:W3CDTF">2025-09-20T02:38:00Z</dcterms:created>
  <dcterms:modified xsi:type="dcterms:W3CDTF">2025-09-23T01:04:00Z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e198f58c-9c23-4d80-9a80-d81694b18b74</vt:lpwstr>
  </property>
</Properties>
</file>