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BE30" w14:textId="514A4D47" w:rsidR="000E1F0A" w:rsidRPr="008C6650" w:rsidRDefault="000E1F0A" w:rsidP="000E1F0A">
      <w:pPr>
        <w:spacing w:line="276" w:lineRule="auto"/>
        <w:jc w:val="center"/>
      </w:pPr>
      <w:r w:rsidRPr="008C6650">
        <w:rPr>
          <w:noProof/>
        </w:rPr>
        <w:drawing>
          <wp:anchor distT="0" distB="0" distL="114300" distR="114300" simplePos="0" relativeHeight="251659264" behindDoc="1" locked="0" layoutInCell="1" allowOverlap="1" wp14:anchorId="7490E507" wp14:editId="2A838C37">
            <wp:simplePos x="0" y="0"/>
            <wp:positionH relativeFrom="margin">
              <wp:align>center</wp:align>
            </wp:positionH>
            <wp:positionV relativeFrom="paragraph">
              <wp:posOffset>117</wp:posOffset>
            </wp:positionV>
            <wp:extent cx="4508500" cy="2362200"/>
            <wp:effectExtent l="0" t="0" r="6350" b="0"/>
            <wp:wrapTight wrapText="bothSides">
              <wp:wrapPolygon edited="0">
                <wp:start x="0" y="0"/>
                <wp:lineTo x="0" y="21426"/>
                <wp:lineTo x="21539" y="21426"/>
                <wp:lineTo x="21539" y="0"/>
                <wp:lineTo x="0" y="0"/>
              </wp:wrapPolygon>
            </wp:wrapTight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2E43D98B-E479-08A8-2729-8EBD08F695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E0909" w14:textId="77777777" w:rsidR="000E1F0A" w:rsidRPr="008C6650" w:rsidRDefault="000E1F0A" w:rsidP="000E1F0A">
      <w:pPr>
        <w:spacing w:line="276" w:lineRule="auto"/>
        <w:jc w:val="center"/>
      </w:pPr>
    </w:p>
    <w:p w14:paraId="122D70B2" w14:textId="3D126CDC" w:rsidR="000E1F0A" w:rsidRPr="008C6650" w:rsidRDefault="000E1F0A" w:rsidP="000E1F0A">
      <w:pPr>
        <w:spacing w:line="276" w:lineRule="auto"/>
        <w:jc w:val="center"/>
      </w:pPr>
    </w:p>
    <w:p w14:paraId="744908A5" w14:textId="77777777" w:rsidR="000E1F0A" w:rsidRPr="008C6650" w:rsidRDefault="000E1F0A" w:rsidP="000E1F0A">
      <w:pPr>
        <w:spacing w:line="276" w:lineRule="auto"/>
        <w:jc w:val="center"/>
      </w:pPr>
    </w:p>
    <w:p w14:paraId="30DD93AF" w14:textId="3BA5BF23" w:rsidR="000E1F0A" w:rsidRPr="008C6650" w:rsidRDefault="000E1F0A" w:rsidP="000E1F0A">
      <w:pPr>
        <w:spacing w:line="276" w:lineRule="auto"/>
        <w:jc w:val="center"/>
      </w:pPr>
    </w:p>
    <w:p w14:paraId="3F777039" w14:textId="42F1CCCB" w:rsidR="000E1F0A" w:rsidRPr="008C6650" w:rsidRDefault="000E1F0A" w:rsidP="000E1F0A">
      <w:pPr>
        <w:spacing w:line="276" w:lineRule="auto"/>
        <w:jc w:val="center"/>
      </w:pPr>
    </w:p>
    <w:p w14:paraId="641917C4" w14:textId="77777777" w:rsidR="000E1F0A" w:rsidRPr="008C6650" w:rsidRDefault="000E1F0A" w:rsidP="000E1F0A">
      <w:pPr>
        <w:spacing w:line="276" w:lineRule="auto"/>
        <w:jc w:val="center"/>
      </w:pPr>
    </w:p>
    <w:p w14:paraId="31B1AAF9" w14:textId="77777777" w:rsidR="000E1F0A" w:rsidRPr="008C6650" w:rsidRDefault="000E1F0A" w:rsidP="000E1F0A">
      <w:pPr>
        <w:spacing w:line="276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bookmarkStart w:id="0" w:name="_Hlk204792204"/>
    </w:p>
    <w:p w14:paraId="07F8D419" w14:textId="1E37E032" w:rsidR="000E1F0A" w:rsidRPr="008C6650" w:rsidRDefault="000E1F0A" w:rsidP="000E1F0A">
      <w:pPr>
        <w:spacing w:line="276" w:lineRule="auto"/>
        <w:jc w:val="left"/>
        <w:rPr>
          <w:rFonts w:asciiTheme="majorBidi" w:hAnsiTheme="majorBidi" w:cstheme="majorBidi"/>
          <w:sz w:val="22"/>
          <w:szCs w:val="22"/>
        </w:rPr>
      </w:pPr>
      <w:r w:rsidRPr="008C6650">
        <w:rPr>
          <w:rFonts w:asciiTheme="majorBidi" w:hAnsiTheme="majorBidi" w:cstheme="majorBidi"/>
          <w:b/>
          <w:bCs/>
          <w:sz w:val="22"/>
          <w:szCs w:val="22"/>
        </w:rPr>
        <w:t xml:space="preserve">Figure </w:t>
      </w:r>
      <w:r>
        <w:rPr>
          <w:rFonts w:asciiTheme="majorBidi" w:hAnsiTheme="majorBidi" w:cstheme="majorBidi"/>
          <w:b/>
          <w:bCs/>
          <w:sz w:val="22"/>
          <w:szCs w:val="22"/>
        </w:rPr>
        <w:t>S1</w:t>
      </w:r>
      <w:r w:rsidRPr="008C6650">
        <w:rPr>
          <w:rFonts w:asciiTheme="majorBidi" w:hAnsiTheme="majorBidi" w:cstheme="majorBidi"/>
          <w:b/>
          <w:bCs/>
          <w:sz w:val="22"/>
          <w:szCs w:val="22"/>
        </w:rPr>
        <w:t xml:space="preserve">. </w:t>
      </w:r>
      <w:r w:rsidRPr="000E1F0A">
        <w:rPr>
          <w:rFonts w:asciiTheme="majorBidi" w:hAnsiTheme="majorBidi" w:cstheme="majorBidi"/>
          <w:sz w:val="22"/>
          <w:szCs w:val="22"/>
        </w:rPr>
        <w:t>Calibration curves of phenylephrine hydrochloride (</w:t>
      </w:r>
      <w:proofErr w:type="spellStart"/>
      <w:r w:rsidRPr="000E1F0A">
        <w:rPr>
          <w:rFonts w:asciiTheme="majorBidi" w:hAnsiTheme="majorBidi" w:cstheme="majorBidi"/>
          <w:sz w:val="22"/>
          <w:szCs w:val="22"/>
        </w:rPr>
        <w:t>PHE·HCl</w:t>
      </w:r>
      <w:proofErr w:type="spellEnd"/>
      <w:r w:rsidRPr="000E1F0A">
        <w:rPr>
          <w:rFonts w:asciiTheme="majorBidi" w:hAnsiTheme="majorBidi" w:cstheme="majorBidi"/>
          <w:sz w:val="22"/>
          <w:szCs w:val="22"/>
        </w:rPr>
        <w:t>) obtained using methods (A) and (B).</w:t>
      </w:r>
    </w:p>
    <w:bookmarkEnd w:id="0"/>
    <w:p w14:paraId="28594AFE" w14:textId="12657531" w:rsidR="007241CD" w:rsidRPr="008C6650" w:rsidRDefault="007241CD" w:rsidP="007241CD">
      <w:pPr>
        <w:spacing w:after="0" w:line="276" w:lineRule="auto"/>
        <w:jc w:val="left"/>
        <w:rPr>
          <w:rFonts w:asciiTheme="majorBidi" w:hAnsiTheme="majorBidi" w:cstheme="majorBidi"/>
          <w:sz w:val="22"/>
          <w:szCs w:val="22"/>
        </w:rPr>
      </w:pPr>
      <w:r w:rsidRPr="008C6650">
        <w:rPr>
          <w:rFonts w:asciiTheme="majorBidi" w:hAnsiTheme="majorBidi" w:cstheme="majorBidi"/>
          <w:b/>
          <w:bCs/>
          <w:sz w:val="22"/>
          <w:szCs w:val="22"/>
        </w:rPr>
        <w:t xml:space="preserve">Table </w:t>
      </w:r>
      <w:r w:rsidR="005268AA">
        <w:rPr>
          <w:rFonts w:asciiTheme="majorBidi" w:hAnsiTheme="majorBidi" w:cstheme="majorBidi"/>
          <w:b/>
          <w:bCs/>
          <w:sz w:val="22"/>
          <w:szCs w:val="22"/>
        </w:rPr>
        <w:t>S</w:t>
      </w:r>
      <w:r w:rsidRPr="008C6650">
        <w:rPr>
          <w:rFonts w:asciiTheme="majorBidi" w:hAnsiTheme="majorBidi" w:cstheme="majorBidi"/>
          <w:b/>
          <w:bCs/>
          <w:sz w:val="22"/>
          <w:szCs w:val="22"/>
        </w:rPr>
        <w:t xml:space="preserve">1. </w:t>
      </w:r>
      <w:r w:rsidRPr="008C6650">
        <w:rPr>
          <w:rFonts w:asciiTheme="majorBidi" w:hAnsiTheme="majorBidi" w:cstheme="majorBidi"/>
          <w:sz w:val="22"/>
          <w:szCs w:val="22"/>
        </w:rPr>
        <w:t>Effect of TMA amount on absorption</w:t>
      </w:r>
      <w:r w:rsidR="005268AA">
        <w:rPr>
          <w:rFonts w:asciiTheme="majorBidi" w:hAnsiTheme="majorBidi" w:cstheme="majorBidi"/>
          <w:sz w:val="22"/>
          <w:szCs w:val="22"/>
        </w:rPr>
        <w:t>.</w:t>
      </w:r>
    </w:p>
    <w:tbl>
      <w:tblPr>
        <w:bidiVisual/>
        <w:tblW w:w="9095" w:type="dxa"/>
        <w:tblLook w:val="04A0" w:firstRow="1" w:lastRow="0" w:firstColumn="1" w:lastColumn="0" w:noHBand="0" w:noVBand="1"/>
      </w:tblPr>
      <w:tblGrid>
        <w:gridCol w:w="1173"/>
        <w:gridCol w:w="1332"/>
        <w:gridCol w:w="1331"/>
        <w:gridCol w:w="1331"/>
        <w:gridCol w:w="1331"/>
        <w:gridCol w:w="1161"/>
        <w:gridCol w:w="1436"/>
      </w:tblGrid>
      <w:tr w:rsidR="007241CD" w:rsidRPr="008C6650" w14:paraId="6FE86EB0" w14:textId="77777777" w:rsidTr="000B45F0">
        <w:tc>
          <w:tcPr>
            <w:tcW w:w="765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49EB9D5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Absorbance/</w:t>
            </w:r>
            <w:proofErr w:type="gramStart"/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µg</w:t>
            </w:r>
            <w:proofErr w:type="gramEnd"/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 phenylephrine hydrochloride/mL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</w:tcBorders>
          </w:tcPr>
          <w:p w14:paraId="584BE5C3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ml of T.M.A</w:t>
            </w:r>
          </w:p>
          <w:p w14:paraId="72BA4B52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 xml:space="preserve">(400 </w:t>
            </w:r>
            <w:proofErr w:type="gramStart"/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µg</w:t>
            </w:r>
            <w:proofErr w:type="gramEnd"/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/mL)</w:t>
            </w:r>
          </w:p>
        </w:tc>
      </w:tr>
      <w:tr w:rsidR="007241CD" w:rsidRPr="008C6650" w14:paraId="7C2F397C" w14:textId="77777777" w:rsidTr="000B45F0"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42EB5757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R</w:t>
            </w: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vertAlign w:val="superscript"/>
                <w:lang w:bidi="ar-AE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598272C1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10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14:paraId="7C794142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7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14:paraId="52C97770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5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14:paraId="15F7E446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4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61FD0A13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  <w:t>2</w:t>
            </w:r>
          </w:p>
        </w:tc>
        <w:tc>
          <w:tcPr>
            <w:tcW w:w="1436" w:type="dxa"/>
            <w:vMerge/>
            <w:tcBorders>
              <w:bottom w:val="single" w:sz="4" w:space="0" w:color="auto"/>
            </w:tcBorders>
          </w:tcPr>
          <w:p w14:paraId="43786108" w14:textId="77777777" w:rsidR="007241CD" w:rsidRPr="008C6650" w:rsidRDefault="007241CD" w:rsidP="000B45F0">
            <w:pPr>
              <w:bidi/>
              <w:spacing w:before="100" w:beforeAutospacing="1"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</w:p>
        </w:tc>
      </w:tr>
      <w:tr w:rsidR="007241CD" w:rsidRPr="008C6650" w14:paraId="06BE4393" w14:textId="77777777" w:rsidTr="000B45F0">
        <w:tc>
          <w:tcPr>
            <w:tcW w:w="1173" w:type="dxa"/>
            <w:tcBorders>
              <w:top w:val="single" w:sz="4" w:space="0" w:color="auto"/>
            </w:tcBorders>
          </w:tcPr>
          <w:p w14:paraId="3ABD321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0.8530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0738B4A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0.444</w:t>
            </w:r>
          </w:p>
        </w:tc>
        <w:tc>
          <w:tcPr>
            <w:tcW w:w="1331" w:type="dxa"/>
            <w:tcBorders>
              <w:top w:val="single" w:sz="4" w:space="0" w:color="auto"/>
            </w:tcBorders>
          </w:tcPr>
          <w:p w14:paraId="2576C834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0.414</w:t>
            </w:r>
          </w:p>
        </w:tc>
        <w:tc>
          <w:tcPr>
            <w:tcW w:w="1331" w:type="dxa"/>
            <w:tcBorders>
              <w:top w:val="single" w:sz="4" w:space="0" w:color="auto"/>
            </w:tcBorders>
          </w:tcPr>
          <w:p w14:paraId="58EB3773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0.353</w:t>
            </w:r>
          </w:p>
        </w:tc>
        <w:tc>
          <w:tcPr>
            <w:tcW w:w="1331" w:type="dxa"/>
            <w:tcBorders>
              <w:top w:val="single" w:sz="4" w:space="0" w:color="auto"/>
            </w:tcBorders>
          </w:tcPr>
          <w:p w14:paraId="52BB185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0.271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6EA161B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0.134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402FD9AB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0.25</w:t>
            </w:r>
          </w:p>
        </w:tc>
      </w:tr>
      <w:tr w:rsidR="007241CD" w:rsidRPr="008C6650" w14:paraId="04B7A2F2" w14:textId="77777777" w:rsidTr="000B45F0">
        <w:tc>
          <w:tcPr>
            <w:tcW w:w="1173" w:type="dxa"/>
          </w:tcPr>
          <w:p w14:paraId="4C3318B2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0.9399</w:t>
            </w:r>
          </w:p>
        </w:tc>
        <w:tc>
          <w:tcPr>
            <w:tcW w:w="1332" w:type="dxa"/>
          </w:tcPr>
          <w:p w14:paraId="5F474AA4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0.635</w:t>
            </w:r>
          </w:p>
        </w:tc>
        <w:tc>
          <w:tcPr>
            <w:tcW w:w="1331" w:type="dxa"/>
          </w:tcPr>
          <w:p w14:paraId="4D07579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0.556</w:t>
            </w:r>
          </w:p>
        </w:tc>
        <w:tc>
          <w:tcPr>
            <w:tcW w:w="1331" w:type="dxa"/>
          </w:tcPr>
          <w:p w14:paraId="2DB7DF73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0.424</w:t>
            </w:r>
          </w:p>
        </w:tc>
        <w:tc>
          <w:tcPr>
            <w:tcW w:w="1331" w:type="dxa"/>
          </w:tcPr>
          <w:p w14:paraId="0203FCF9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0.351</w:t>
            </w:r>
          </w:p>
        </w:tc>
        <w:tc>
          <w:tcPr>
            <w:tcW w:w="1161" w:type="dxa"/>
          </w:tcPr>
          <w:p w14:paraId="6E0C86CA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0.173</w:t>
            </w:r>
          </w:p>
        </w:tc>
        <w:tc>
          <w:tcPr>
            <w:tcW w:w="1436" w:type="dxa"/>
          </w:tcPr>
          <w:p w14:paraId="719BE546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0.5</w:t>
            </w:r>
          </w:p>
        </w:tc>
      </w:tr>
      <w:tr w:rsidR="007241CD" w:rsidRPr="008C6650" w14:paraId="27ADECD8" w14:textId="77777777" w:rsidTr="000B45F0">
        <w:tc>
          <w:tcPr>
            <w:tcW w:w="1173" w:type="dxa"/>
          </w:tcPr>
          <w:p w14:paraId="13F2E2C7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0.9842</w:t>
            </w:r>
          </w:p>
        </w:tc>
        <w:tc>
          <w:tcPr>
            <w:tcW w:w="1332" w:type="dxa"/>
          </w:tcPr>
          <w:p w14:paraId="67F29CF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0.710</w:t>
            </w:r>
          </w:p>
        </w:tc>
        <w:tc>
          <w:tcPr>
            <w:tcW w:w="1331" w:type="dxa"/>
          </w:tcPr>
          <w:p w14:paraId="617DBF06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0.573</w:t>
            </w:r>
          </w:p>
        </w:tc>
        <w:tc>
          <w:tcPr>
            <w:tcW w:w="1331" w:type="dxa"/>
          </w:tcPr>
          <w:p w14:paraId="30162199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0.420</w:t>
            </w:r>
          </w:p>
        </w:tc>
        <w:tc>
          <w:tcPr>
            <w:tcW w:w="1331" w:type="dxa"/>
          </w:tcPr>
          <w:p w14:paraId="5C13AAF2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0.327</w:t>
            </w:r>
          </w:p>
        </w:tc>
        <w:tc>
          <w:tcPr>
            <w:tcW w:w="1161" w:type="dxa"/>
          </w:tcPr>
          <w:p w14:paraId="7991E0E0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0.177</w:t>
            </w:r>
          </w:p>
        </w:tc>
        <w:tc>
          <w:tcPr>
            <w:tcW w:w="1436" w:type="dxa"/>
          </w:tcPr>
          <w:p w14:paraId="6C6CDED8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0.6</w:t>
            </w:r>
          </w:p>
        </w:tc>
      </w:tr>
      <w:tr w:rsidR="007241CD" w:rsidRPr="008C6650" w14:paraId="31E30DD0" w14:textId="77777777" w:rsidTr="000B45F0">
        <w:tc>
          <w:tcPr>
            <w:tcW w:w="1173" w:type="dxa"/>
          </w:tcPr>
          <w:p w14:paraId="5663F55B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0.9973</w:t>
            </w:r>
          </w:p>
        </w:tc>
        <w:tc>
          <w:tcPr>
            <w:tcW w:w="1332" w:type="dxa"/>
          </w:tcPr>
          <w:p w14:paraId="53C88A8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0.796</w:t>
            </w:r>
          </w:p>
        </w:tc>
        <w:tc>
          <w:tcPr>
            <w:tcW w:w="1331" w:type="dxa"/>
          </w:tcPr>
          <w:p w14:paraId="4F787C5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0.588</w:t>
            </w:r>
          </w:p>
        </w:tc>
        <w:tc>
          <w:tcPr>
            <w:tcW w:w="1331" w:type="dxa"/>
          </w:tcPr>
          <w:p w14:paraId="5C481BFB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0.430</w:t>
            </w:r>
          </w:p>
        </w:tc>
        <w:tc>
          <w:tcPr>
            <w:tcW w:w="1331" w:type="dxa"/>
          </w:tcPr>
          <w:p w14:paraId="5566535C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0.352</w:t>
            </w:r>
          </w:p>
        </w:tc>
        <w:tc>
          <w:tcPr>
            <w:tcW w:w="1161" w:type="dxa"/>
          </w:tcPr>
          <w:p w14:paraId="5198CED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0.176</w:t>
            </w:r>
          </w:p>
        </w:tc>
        <w:tc>
          <w:tcPr>
            <w:tcW w:w="1436" w:type="dxa"/>
          </w:tcPr>
          <w:p w14:paraId="6E43961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0.75</w:t>
            </w:r>
          </w:p>
        </w:tc>
      </w:tr>
      <w:tr w:rsidR="007241CD" w:rsidRPr="008C6650" w14:paraId="5DDCC5B8" w14:textId="77777777" w:rsidTr="000B45F0">
        <w:tc>
          <w:tcPr>
            <w:tcW w:w="1173" w:type="dxa"/>
          </w:tcPr>
          <w:p w14:paraId="6E95A36D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0.9985</w:t>
            </w:r>
          </w:p>
        </w:tc>
        <w:tc>
          <w:tcPr>
            <w:tcW w:w="1332" w:type="dxa"/>
          </w:tcPr>
          <w:p w14:paraId="7DAB75A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0.810</w:t>
            </w:r>
          </w:p>
        </w:tc>
        <w:tc>
          <w:tcPr>
            <w:tcW w:w="1331" w:type="dxa"/>
          </w:tcPr>
          <w:p w14:paraId="35CD2E42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0.573</w:t>
            </w:r>
          </w:p>
        </w:tc>
        <w:tc>
          <w:tcPr>
            <w:tcW w:w="1331" w:type="dxa"/>
          </w:tcPr>
          <w:p w14:paraId="1B74626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0.432</w:t>
            </w:r>
          </w:p>
        </w:tc>
        <w:tc>
          <w:tcPr>
            <w:tcW w:w="1331" w:type="dxa"/>
          </w:tcPr>
          <w:p w14:paraId="5AF1089A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0.343</w:t>
            </w:r>
          </w:p>
        </w:tc>
        <w:tc>
          <w:tcPr>
            <w:tcW w:w="1161" w:type="dxa"/>
          </w:tcPr>
          <w:p w14:paraId="6BE3D256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0.170</w:t>
            </w:r>
          </w:p>
        </w:tc>
        <w:tc>
          <w:tcPr>
            <w:tcW w:w="1436" w:type="dxa"/>
          </w:tcPr>
          <w:p w14:paraId="1E0917A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</w:t>
            </w:r>
          </w:p>
        </w:tc>
      </w:tr>
      <w:tr w:rsidR="007241CD" w:rsidRPr="008C6650" w14:paraId="2ACE73CB" w14:textId="77777777" w:rsidTr="000B45F0">
        <w:tc>
          <w:tcPr>
            <w:tcW w:w="1173" w:type="dxa"/>
          </w:tcPr>
          <w:p w14:paraId="799A0732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0.9989</w:t>
            </w:r>
          </w:p>
        </w:tc>
        <w:tc>
          <w:tcPr>
            <w:tcW w:w="1332" w:type="dxa"/>
          </w:tcPr>
          <w:p w14:paraId="251303D3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0.903</w:t>
            </w:r>
          </w:p>
        </w:tc>
        <w:tc>
          <w:tcPr>
            <w:tcW w:w="1331" w:type="dxa"/>
          </w:tcPr>
          <w:p w14:paraId="65867677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0.652</w:t>
            </w:r>
          </w:p>
        </w:tc>
        <w:tc>
          <w:tcPr>
            <w:tcW w:w="1331" w:type="dxa"/>
          </w:tcPr>
          <w:p w14:paraId="727B91A3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0.457</w:t>
            </w:r>
          </w:p>
        </w:tc>
        <w:tc>
          <w:tcPr>
            <w:tcW w:w="1331" w:type="dxa"/>
          </w:tcPr>
          <w:p w14:paraId="098F1553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0.378</w:t>
            </w:r>
          </w:p>
        </w:tc>
        <w:tc>
          <w:tcPr>
            <w:tcW w:w="1161" w:type="dxa"/>
          </w:tcPr>
          <w:p w14:paraId="5131D569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0.181</w:t>
            </w:r>
          </w:p>
        </w:tc>
        <w:tc>
          <w:tcPr>
            <w:tcW w:w="1436" w:type="dxa"/>
          </w:tcPr>
          <w:p w14:paraId="7FD50930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1.15</w:t>
            </w:r>
          </w:p>
        </w:tc>
      </w:tr>
      <w:tr w:rsidR="007241CD" w:rsidRPr="008C6650" w14:paraId="5647523F" w14:textId="77777777" w:rsidTr="000B45F0">
        <w:tc>
          <w:tcPr>
            <w:tcW w:w="1173" w:type="dxa"/>
          </w:tcPr>
          <w:p w14:paraId="4D3D083D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0.9998</w:t>
            </w:r>
          </w:p>
        </w:tc>
        <w:tc>
          <w:tcPr>
            <w:tcW w:w="1332" w:type="dxa"/>
          </w:tcPr>
          <w:p w14:paraId="3971EFAA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0.936</w:t>
            </w:r>
          </w:p>
        </w:tc>
        <w:tc>
          <w:tcPr>
            <w:tcW w:w="1331" w:type="dxa"/>
          </w:tcPr>
          <w:p w14:paraId="63042EFD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0.650</w:t>
            </w:r>
          </w:p>
        </w:tc>
        <w:tc>
          <w:tcPr>
            <w:tcW w:w="1331" w:type="dxa"/>
          </w:tcPr>
          <w:p w14:paraId="328B7EC5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0.473</w:t>
            </w:r>
          </w:p>
        </w:tc>
        <w:tc>
          <w:tcPr>
            <w:tcW w:w="1331" w:type="dxa"/>
          </w:tcPr>
          <w:p w14:paraId="2C8B23C2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0.385</w:t>
            </w:r>
          </w:p>
        </w:tc>
        <w:tc>
          <w:tcPr>
            <w:tcW w:w="1161" w:type="dxa"/>
          </w:tcPr>
          <w:p w14:paraId="70E79B4C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0.200</w:t>
            </w:r>
          </w:p>
        </w:tc>
        <w:tc>
          <w:tcPr>
            <w:tcW w:w="1436" w:type="dxa"/>
          </w:tcPr>
          <w:p w14:paraId="003D99F1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1.25</w:t>
            </w:r>
          </w:p>
        </w:tc>
      </w:tr>
      <w:tr w:rsidR="007241CD" w:rsidRPr="008C6650" w14:paraId="7039F9DA" w14:textId="77777777" w:rsidTr="000B45F0">
        <w:tc>
          <w:tcPr>
            <w:tcW w:w="1173" w:type="dxa"/>
            <w:tcBorders>
              <w:bottom w:val="single" w:sz="4" w:space="0" w:color="auto"/>
            </w:tcBorders>
          </w:tcPr>
          <w:p w14:paraId="092B0E5D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0.9971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53D2AE9F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0.926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5481E360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0.680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15FCBD02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0.468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1BEBB51E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0.405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3C900D00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0.198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7D4F8F50" w14:textId="77777777" w:rsidR="007241CD" w:rsidRPr="008C6650" w:rsidRDefault="007241CD" w:rsidP="000B45F0">
            <w:pPr>
              <w:bidi/>
              <w:spacing w:before="100" w:beforeAutospacing="1" w:line="276" w:lineRule="auto"/>
              <w:jc w:val="center"/>
              <w:rPr>
                <w:rFonts w:asciiTheme="majorBidi" w:hAnsiTheme="majorBidi" w:cstheme="majorBidi"/>
                <w:sz w:val="22"/>
                <w:szCs w:val="22"/>
                <w:lang w:bidi="ar-AE"/>
              </w:rPr>
            </w:pPr>
            <w:r w:rsidRPr="008C6650">
              <w:rPr>
                <w:rFonts w:asciiTheme="majorBidi" w:hAnsiTheme="majorBidi" w:cstheme="majorBidi"/>
                <w:sz w:val="22"/>
                <w:szCs w:val="22"/>
                <w:lang w:bidi="ar-AE"/>
              </w:rPr>
              <w:t>1.5</w:t>
            </w:r>
          </w:p>
        </w:tc>
      </w:tr>
    </w:tbl>
    <w:p w14:paraId="5F71F196" w14:textId="52D06848" w:rsidR="00D97240" w:rsidRDefault="00D97240"/>
    <w:p w14:paraId="203D8300" w14:textId="2C6FFBD7" w:rsidR="00D97240" w:rsidRDefault="00D97240" w:rsidP="00D43A48">
      <w:pPr>
        <w:spacing w:line="276" w:lineRule="auto"/>
        <w:jc w:val="left"/>
      </w:pPr>
      <w:r>
        <w:br w:type="page"/>
      </w:r>
    </w:p>
    <w:p w14:paraId="72D75F9A" w14:textId="242B4E39" w:rsidR="00D97240" w:rsidRPr="008C6650" w:rsidRDefault="00BB2052" w:rsidP="00D97240">
      <w:pPr>
        <w:spacing w:after="0" w:line="276" w:lineRule="auto"/>
        <w:jc w:val="left"/>
        <w:rPr>
          <w:rFonts w:asciiTheme="minorBidi" w:hAnsiTheme="minorBidi" w:cstheme="minorBidi"/>
          <w:b/>
          <w:bCs/>
          <w:sz w:val="20"/>
          <w:szCs w:val="16"/>
          <w:lang w:bidi="ar-IQ"/>
        </w:rPr>
      </w:pPr>
      <w:r w:rsidRPr="008C6650">
        <w:rPr>
          <w:rFonts w:asciiTheme="minorBidi" w:hAnsiTheme="minorBidi" w:cstheme="minorBidi"/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1" wp14:anchorId="2C649A67" wp14:editId="2A843603">
            <wp:simplePos x="0" y="0"/>
            <wp:positionH relativeFrom="margin">
              <wp:posOffset>13970</wp:posOffset>
            </wp:positionH>
            <wp:positionV relativeFrom="paragraph">
              <wp:posOffset>0</wp:posOffset>
            </wp:positionV>
            <wp:extent cx="2773680" cy="1739900"/>
            <wp:effectExtent l="0" t="0" r="7620" b="12700"/>
            <wp:wrapSquare wrapText="bothSides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2E43D98B-E479-08A8-2729-8EBD08F695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6650">
        <w:rPr>
          <w:rFonts w:asciiTheme="minorBidi" w:hAnsiTheme="minorBidi" w:cstheme="minorBid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2D18EDB4" wp14:editId="3063D959">
            <wp:simplePos x="0" y="0"/>
            <wp:positionH relativeFrom="margin">
              <wp:posOffset>2936879</wp:posOffset>
            </wp:positionH>
            <wp:positionV relativeFrom="paragraph">
              <wp:posOffset>0</wp:posOffset>
            </wp:positionV>
            <wp:extent cx="2825750" cy="1739900"/>
            <wp:effectExtent l="0" t="0" r="12700" b="12700"/>
            <wp:wrapSquare wrapText="bothSides"/>
            <wp:docPr id="37" name="Chart 37">
              <a:extLst xmlns:a="http://schemas.openxmlformats.org/drawingml/2006/main">
                <a:ext uri="{FF2B5EF4-FFF2-40B4-BE49-F238E27FC236}">
                  <a16:creationId xmlns:a16="http://schemas.microsoft.com/office/drawing/2014/main" id="{2E43D98B-E479-08A8-2729-8EBD08F695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B9786" w14:textId="10B835B0" w:rsidR="00D97240" w:rsidRPr="008C6650" w:rsidRDefault="00D97240" w:rsidP="00D97240">
      <w:pPr>
        <w:spacing w:after="0" w:line="276" w:lineRule="auto"/>
        <w:jc w:val="left"/>
        <w:rPr>
          <w:rFonts w:asciiTheme="majorBidi" w:hAnsiTheme="majorBidi" w:cstheme="majorBidi"/>
          <w:sz w:val="22"/>
          <w:szCs w:val="22"/>
          <w:lang w:bidi="ar-IQ"/>
        </w:rPr>
      </w:pPr>
      <w:r w:rsidRPr="008C6650">
        <w:rPr>
          <w:rFonts w:asciiTheme="majorBidi" w:hAnsiTheme="majorBidi" w:cstheme="majorBidi"/>
          <w:b/>
          <w:bCs/>
          <w:sz w:val="22"/>
          <w:szCs w:val="22"/>
          <w:lang w:bidi="ar-IQ"/>
        </w:rPr>
        <w:t xml:space="preserve">Figure </w:t>
      </w:r>
      <w:r w:rsidR="00BB2052">
        <w:rPr>
          <w:rFonts w:asciiTheme="majorBidi" w:hAnsiTheme="majorBidi" w:cstheme="majorBidi"/>
          <w:b/>
          <w:bCs/>
          <w:sz w:val="22"/>
          <w:szCs w:val="22"/>
          <w:lang w:bidi="ar-IQ"/>
        </w:rPr>
        <w:t>S2</w:t>
      </w:r>
      <w:r w:rsidRPr="008C6650">
        <w:rPr>
          <w:rFonts w:asciiTheme="majorBidi" w:hAnsiTheme="majorBidi" w:cstheme="majorBidi"/>
          <w:b/>
          <w:bCs/>
          <w:sz w:val="22"/>
          <w:szCs w:val="22"/>
          <w:lang w:bidi="ar-IQ"/>
        </w:rPr>
        <w:t xml:space="preserve">. </w:t>
      </w:r>
      <w:r w:rsidR="00BB2052" w:rsidRPr="00BB2052">
        <w:rPr>
          <w:rFonts w:asciiTheme="majorBidi" w:hAnsiTheme="majorBidi" w:cstheme="majorBidi"/>
          <w:sz w:val="22"/>
          <w:szCs w:val="22"/>
          <w:lang w:bidi="ar-IQ"/>
        </w:rPr>
        <w:t>(A) Continuous variation (Job’s) plot and (B) mole-ratio plot for the reaction between phenylephrine hydrochloride (</w:t>
      </w:r>
      <w:proofErr w:type="spellStart"/>
      <w:r w:rsidR="00BB2052" w:rsidRPr="00BB2052">
        <w:rPr>
          <w:rFonts w:asciiTheme="majorBidi" w:hAnsiTheme="majorBidi" w:cstheme="majorBidi"/>
          <w:sz w:val="22"/>
          <w:szCs w:val="22"/>
          <w:lang w:bidi="ar-IQ"/>
        </w:rPr>
        <w:t>PHE·HCl</w:t>
      </w:r>
      <w:proofErr w:type="spellEnd"/>
      <w:r w:rsidR="00BB2052" w:rsidRPr="00BB2052">
        <w:rPr>
          <w:rFonts w:asciiTheme="majorBidi" w:hAnsiTheme="majorBidi" w:cstheme="majorBidi"/>
          <w:sz w:val="22"/>
          <w:szCs w:val="22"/>
          <w:lang w:bidi="ar-IQ"/>
        </w:rPr>
        <w:t>) and diazotized 3,4,5-trimethoxyaniline (TMA)</w:t>
      </w:r>
      <w:r w:rsidRPr="008C6650">
        <w:rPr>
          <w:rFonts w:asciiTheme="majorBidi" w:hAnsiTheme="majorBidi" w:cstheme="majorBidi"/>
          <w:sz w:val="22"/>
          <w:szCs w:val="22"/>
          <w:lang w:bidi="ar-IQ"/>
        </w:rPr>
        <w:t>.</w:t>
      </w:r>
    </w:p>
    <w:p w14:paraId="2897637D" w14:textId="77777777" w:rsidR="00C4299B" w:rsidRDefault="00C4299B"/>
    <w:p w14:paraId="7CF5E7C1" w14:textId="77777777" w:rsidR="00D43A48" w:rsidRDefault="00D43A48"/>
    <w:p w14:paraId="072732C1" w14:textId="77777777" w:rsidR="00D43A48" w:rsidRPr="00304B6F" w:rsidRDefault="00D43A48" w:rsidP="00D43A48">
      <w:pPr>
        <w:spacing w:line="276" w:lineRule="auto"/>
        <w:jc w:val="left"/>
        <w:rPr>
          <w:rFonts w:ascii="Times New Roman" w:hAnsi="Times New Roman"/>
          <w:sz w:val="22"/>
          <w:szCs w:val="22"/>
        </w:rPr>
      </w:pPr>
      <w:r w:rsidRPr="00D43A48">
        <w:rPr>
          <w:rFonts w:ascii="Times New Roman" w:hAnsi="Times New Roman"/>
          <w:b/>
          <w:bCs/>
          <w:sz w:val="22"/>
          <w:szCs w:val="22"/>
        </w:rPr>
        <w:t>Table S2.</w:t>
      </w:r>
      <w:r w:rsidRPr="00FB40FC">
        <w:rPr>
          <w:rFonts w:ascii="Times New Roman" w:hAnsi="Times New Roman"/>
          <w:sz w:val="22"/>
          <w:szCs w:val="22"/>
        </w:rPr>
        <w:t xml:space="preserve"> Analytical Eco-scale penalty points for the proposed methods compared with a literature HPLC method.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1"/>
        <w:gridCol w:w="3113"/>
        <w:gridCol w:w="4066"/>
      </w:tblGrid>
      <w:tr w:rsidR="00D43A48" w:rsidRPr="009C4121" w14:paraId="265D93C8" w14:textId="77777777" w:rsidTr="00834941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D2D28C" w14:textId="77777777" w:rsidR="00D43A48" w:rsidRPr="00D43A48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43A48">
              <w:rPr>
                <w:rFonts w:ascii="Times New Roman" w:hAnsi="Times New Roman"/>
                <w:b/>
                <w:bCs/>
                <w:sz w:val="22"/>
                <w:szCs w:val="22"/>
              </w:rPr>
              <w:t>Reagents / parameters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E3F814" w14:textId="77777777" w:rsidR="00D43A48" w:rsidRPr="00D43A48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43A48">
              <w:rPr>
                <w:rFonts w:ascii="Times New Roman" w:hAnsi="Times New Roman"/>
                <w:b/>
                <w:bCs/>
                <w:sz w:val="22"/>
                <w:szCs w:val="22"/>
              </w:rPr>
              <w:t>Penalty points (proposed methods)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B0BD5E" w14:textId="77777777" w:rsidR="00D43A48" w:rsidRPr="00D43A48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43A48">
              <w:rPr>
                <w:rFonts w:ascii="Times New Roman" w:hAnsi="Times New Roman"/>
                <w:b/>
                <w:bCs/>
                <w:sz w:val="22"/>
                <w:szCs w:val="22"/>
              </w:rPr>
              <w:t>Penalty points (literature HPLC method [44])</w:t>
            </w:r>
          </w:p>
        </w:tc>
      </w:tr>
      <w:tr w:rsidR="00D43A48" w:rsidRPr="009C4121" w14:paraId="631E3FDF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B2C88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Hydrochloric acid</w:t>
            </w:r>
          </w:p>
        </w:tc>
        <w:tc>
          <w:tcPr>
            <w:tcW w:w="0" w:type="auto"/>
            <w:vAlign w:val="center"/>
            <w:hideMark/>
          </w:tcPr>
          <w:p w14:paraId="34E8452F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DB2E594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</w:tr>
      <w:tr w:rsidR="00D43A48" w:rsidRPr="009C4121" w14:paraId="20987D09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53770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Phosphoric acid</w:t>
            </w:r>
          </w:p>
        </w:tc>
        <w:tc>
          <w:tcPr>
            <w:tcW w:w="0" w:type="auto"/>
            <w:vAlign w:val="center"/>
            <w:hideMark/>
          </w:tcPr>
          <w:p w14:paraId="03AC8CF9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DA8D24D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</w:tr>
      <w:tr w:rsidR="00D43A48" w:rsidRPr="009C4121" w14:paraId="71E5385E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18A6E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Sodium hydroxide</w:t>
            </w:r>
          </w:p>
        </w:tc>
        <w:tc>
          <w:tcPr>
            <w:tcW w:w="0" w:type="auto"/>
            <w:vAlign w:val="center"/>
            <w:hideMark/>
          </w:tcPr>
          <w:p w14:paraId="77284E5D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532CA9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D43A48" w:rsidRPr="009C4121" w14:paraId="706C2438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05A59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Acetonitrile</w:t>
            </w:r>
          </w:p>
        </w:tc>
        <w:tc>
          <w:tcPr>
            <w:tcW w:w="0" w:type="auto"/>
            <w:vAlign w:val="center"/>
            <w:hideMark/>
          </w:tcPr>
          <w:p w14:paraId="6586C6E5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E8932BB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D43A48" w:rsidRPr="009C4121" w14:paraId="1E49365E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674F2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3,4,5-Trimethoxyaniline</w:t>
            </w:r>
          </w:p>
        </w:tc>
        <w:tc>
          <w:tcPr>
            <w:tcW w:w="0" w:type="auto"/>
            <w:vAlign w:val="center"/>
            <w:hideMark/>
          </w:tcPr>
          <w:p w14:paraId="15B16AD1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5B93FD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</w:tr>
      <w:tr w:rsidR="00D43A48" w:rsidRPr="009C4121" w14:paraId="05A5DBA5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76560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Instrument energy</w:t>
            </w:r>
          </w:p>
        </w:tc>
        <w:tc>
          <w:tcPr>
            <w:tcW w:w="0" w:type="auto"/>
            <w:vAlign w:val="center"/>
            <w:hideMark/>
          </w:tcPr>
          <w:p w14:paraId="0BB8FAAE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75A0C7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D43A48" w:rsidRPr="009C4121" w14:paraId="131FC9D7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80B41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Oven</w:t>
            </w:r>
          </w:p>
        </w:tc>
        <w:tc>
          <w:tcPr>
            <w:tcW w:w="0" w:type="auto"/>
            <w:vAlign w:val="center"/>
            <w:hideMark/>
          </w:tcPr>
          <w:p w14:paraId="4F048CF0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C9FA23C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—</w:t>
            </w:r>
          </w:p>
        </w:tc>
      </w:tr>
      <w:tr w:rsidR="00D43A48" w:rsidRPr="009C4121" w14:paraId="2F15465D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F0244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Wastes</w:t>
            </w:r>
          </w:p>
        </w:tc>
        <w:tc>
          <w:tcPr>
            <w:tcW w:w="0" w:type="auto"/>
            <w:vAlign w:val="center"/>
            <w:hideMark/>
          </w:tcPr>
          <w:p w14:paraId="1A56B748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BC21110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43A48" w:rsidRPr="009C4121" w14:paraId="04DB4E7C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9366C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Total penalty points</w:t>
            </w:r>
          </w:p>
        </w:tc>
        <w:tc>
          <w:tcPr>
            <w:tcW w:w="0" w:type="auto"/>
            <w:vAlign w:val="center"/>
            <w:hideMark/>
          </w:tcPr>
          <w:p w14:paraId="53E9C8DD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ACBBB3F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</w:tr>
      <w:tr w:rsidR="00D43A48" w:rsidRPr="009C4121" w14:paraId="7BD70E80" w14:textId="77777777" w:rsidTr="008349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EA26B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Eco-scale score</w:t>
            </w:r>
          </w:p>
        </w:tc>
        <w:tc>
          <w:tcPr>
            <w:tcW w:w="0" w:type="auto"/>
            <w:vAlign w:val="center"/>
            <w:hideMark/>
          </w:tcPr>
          <w:p w14:paraId="0589C5A1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116F748D" w14:textId="77777777" w:rsidR="00D43A48" w:rsidRPr="009C4121" w:rsidRDefault="00D43A48" w:rsidP="00834941">
            <w:pPr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C4121">
              <w:rPr>
                <w:rFonts w:ascii="Times New Roman" w:hAnsi="Times New Roman"/>
                <w:sz w:val="22"/>
                <w:szCs w:val="22"/>
              </w:rPr>
              <w:t>83</w:t>
            </w:r>
          </w:p>
        </w:tc>
      </w:tr>
    </w:tbl>
    <w:p w14:paraId="04543712" w14:textId="77777777" w:rsidR="00D43A48" w:rsidRPr="00FB40FC" w:rsidRDefault="00D43A48" w:rsidP="00D43A48">
      <w:pPr>
        <w:spacing w:after="0" w:line="276" w:lineRule="auto"/>
        <w:rPr>
          <w:rFonts w:ascii="Times New Roman" w:hAnsi="Times New Roman"/>
          <w:sz w:val="22"/>
          <w:szCs w:val="22"/>
          <w:lang w:val="ru-RU"/>
        </w:rPr>
      </w:pPr>
    </w:p>
    <w:p w14:paraId="310AD201" w14:textId="77777777" w:rsidR="00D43A48" w:rsidRDefault="00D43A48"/>
    <w:sectPr w:rsidR="00D43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0A"/>
    <w:rsid w:val="000E1F0A"/>
    <w:rsid w:val="005268AA"/>
    <w:rsid w:val="00664854"/>
    <w:rsid w:val="007241CD"/>
    <w:rsid w:val="00BB2052"/>
    <w:rsid w:val="00C4299B"/>
    <w:rsid w:val="00C84A53"/>
    <w:rsid w:val="00D43A48"/>
    <w:rsid w:val="00D97240"/>
    <w:rsid w:val="00F0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CA5A"/>
  <w15:chartTrackingRefBased/>
  <w15:docId w15:val="{1599FAC7-F68D-4444-8E3B-DA31FB3D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F0A"/>
    <w:pPr>
      <w:spacing w:after="200" w:line="240" w:lineRule="auto"/>
      <w:jc w:val="both"/>
    </w:pPr>
    <w:rPr>
      <w:rFonts w:ascii="Times" w:eastAsia="Times New Roman" w:hAnsi="Times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F0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F0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F0A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F0A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F0A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F0A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F0A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F0A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F0A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F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F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F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F0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1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F0A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1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F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1F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F0A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1F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F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F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alek\chapter%2022\job%20method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alek\chapter%2022\MOLE%20RATIO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295456970317734"/>
          <c:y val="6.656859657248726E-2"/>
          <c:w val="0.85613870211890442"/>
          <c:h val="0.73378452987494214"/>
        </c:manualLayout>
      </c:layout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1.0400410398528558E-2"/>
                  <c:y val="0.2513541219371647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>
                        <a:solidFill>
                          <a:schemeClr val="accent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0.0893x + 0.0877</a:t>
                    </a:r>
                    <a:br>
                      <a:rPr lang="en-US" sz="1000">
                        <a:solidFill>
                          <a:schemeClr val="accent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sz="1000">
                        <a:solidFill>
                          <a:schemeClr val="accent1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R² = 0.9993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Sheet1!$A$1:$A$9</c:f>
              <c:numCache>
                <c:formatCode>General</c:formatCode>
                <c:ptCount val="9"/>
                <c:pt idx="0">
                  <c:v>3</c:v>
                </c:pt>
                <c:pt idx="1">
                  <c:v>5</c:v>
                </c:pt>
                <c:pt idx="2">
                  <c:v>7</c:v>
                </c:pt>
                <c:pt idx="3">
                  <c:v>10</c:v>
                </c:pt>
                <c:pt idx="4">
                  <c:v>12</c:v>
                </c:pt>
                <c:pt idx="5">
                  <c:v>15</c:v>
                </c:pt>
                <c:pt idx="6">
                  <c:v>17</c:v>
                </c:pt>
                <c:pt idx="7">
                  <c:v>20</c:v>
                </c:pt>
                <c:pt idx="8">
                  <c:v>22</c:v>
                </c:pt>
              </c:numCache>
            </c:numRef>
          </c:xVal>
          <c:yVal>
            <c:numRef>
              <c:f>Sheet1!$B$1:$B$9</c:f>
              <c:numCache>
                <c:formatCode>General</c:formatCode>
                <c:ptCount val="9"/>
                <c:pt idx="0">
                  <c:v>0.33400000000000002</c:v>
                </c:pt>
                <c:pt idx="1">
                  <c:v>0.53</c:v>
                </c:pt>
                <c:pt idx="2">
                  <c:v>0.71599999999999997</c:v>
                </c:pt>
                <c:pt idx="3">
                  <c:v>0.99</c:v>
                </c:pt>
                <c:pt idx="4">
                  <c:v>1.173</c:v>
                </c:pt>
                <c:pt idx="5">
                  <c:v>1.45</c:v>
                </c:pt>
                <c:pt idx="6">
                  <c:v>1.6160000000000001</c:v>
                </c:pt>
                <c:pt idx="7">
                  <c:v>1.863</c:v>
                </c:pt>
                <c:pt idx="8">
                  <c:v>2.0299999999999998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6-7CE5-4475-8F06-92CF871AF2B9}"/>
            </c:ext>
          </c:extLst>
        </c:ser>
        <c:ser>
          <c:idx val="1"/>
          <c:order val="1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4.7479746849825588E-2"/>
                  <c:y val="-0.10176554017704309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0">
                        <a:solidFill>
                          <a:schemeClr val="accent2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y = 0.1834x + 0.3879</a:t>
                    </a:r>
                    <a:br>
                      <a:rPr lang="en-US" sz="1000" b="0">
                        <a:solidFill>
                          <a:schemeClr val="accent2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</a:br>
                    <a:r>
                      <a:rPr lang="en-US" sz="1000" b="0">
                        <a:solidFill>
                          <a:schemeClr val="accent2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R² = 0.9976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Sheet1!$C$1:$C$8</c:f>
              <c:numCache>
                <c:formatCode>General</c:formatCode>
                <c:ptCount val="8"/>
                <c:pt idx="0">
                  <c:v>0.3</c:v>
                </c:pt>
                <c:pt idx="1">
                  <c:v>1</c:v>
                </c:pt>
                <c:pt idx="2">
                  <c:v>3</c:v>
                </c:pt>
                <c:pt idx="3">
                  <c:v>5</c:v>
                </c:pt>
                <c:pt idx="4">
                  <c:v>7</c:v>
                </c:pt>
                <c:pt idx="5">
                  <c:v>9</c:v>
                </c:pt>
                <c:pt idx="6">
                  <c:v>10</c:v>
                </c:pt>
                <c:pt idx="7">
                  <c:v>12</c:v>
                </c:pt>
              </c:numCache>
            </c:numRef>
          </c:xVal>
          <c:yVal>
            <c:numRef>
              <c:f>Sheet1!$D$1:$D$8</c:f>
              <c:numCache>
                <c:formatCode>General</c:formatCode>
                <c:ptCount val="8"/>
                <c:pt idx="0">
                  <c:v>0.40200000000000002</c:v>
                </c:pt>
                <c:pt idx="1">
                  <c:v>0.55000000000000004</c:v>
                </c:pt>
                <c:pt idx="2">
                  <c:v>1.002</c:v>
                </c:pt>
                <c:pt idx="3">
                  <c:v>1.333</c:v>
                </c:pt>
                <c:pt idx="4">
                  <c:v>1.67</c:v>
                </c:pt>
                <c:pt idx="5">
                  <c:v>1.9990000000000001</c:v>
                </c:pt>
                <c:pt idx="6">
                  <c:v>2.2589999999999999</c:v>
                </c:pt>
                <c:pt idx="7">
                  <c:v>2.5649999999999999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C-7CE5-4475-8F06-92CF871AF2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7891864"/>
        <c:axId val="597890424"/>
      </c:scatterChart>
      <c:valAx>
        <c:axId val="597891864"/>
        <c:scaling>
          <c:orientation val="minMax"/>
          <c:max val="25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latin typeface="Arial" panose="020B0604020202020204" pitchFamily="34" charset="0"/>
                    <a:cs typeface="Arial" panose="020B0604020202020204" pitchFamily="34" charset="0"/>
                  </a:rPr>
                  <a:t>Conc.</a:t>
                </a:r>
                <a:r>
                  <a:rPr lang="en-US" sz="10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PHE. HCl (100 </a:t>
                </a:r>
                <a:r>
                  <a:rPr lang="en-US" sz="1000" baseline="0"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µg/mL)</a:t>
                </a:r>
                <a:endParaRPr lang="en-US" sz="10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7890424"/>
        <c:crosses val="autoZero"/>
        <c:crossBetween val="midCat"/>
      </c:valAx>
      <c:valAx>
        <c:axId val="597890424"/>
        <c:scaling>
          <c:orientation val="minMax"/>
          <c:max val="4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latin typeface="Arial" panose="020B0604020202020204" pitchFamily="34" charset="0"/>
                    <a:cs typeface="Arial" panose="020B0604020202020204" pitchFamily="34" charset="0"/>
                  </a:rPr>
                  <a:t>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2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78918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54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555724425617232"/>
          <c:y val="0.14491556154164939"/>
          <c:w val="0.77714692234312599"/>
          <c:h val="0.64899813510153337"/>
        </c:manualLayout>
      </c:layout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Sheet1!$A$1:$A$6</c:f>
              <c:numCache>
                <c:formatCode>General</c:formatCode>
                <c:ptCount val="6"/>
                <c:pt idx="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0.6</c:v>
                </c:pt>
                <c:pt idx="4">
                  <c:v>0.8</c:v>
                </c:pt>
                <c:pt idx="5">
                  <c:v>0.9</c:v>
                </c:pt>
              </c:numCache>
            </c:numRef>
          </c:xVal>
          <c:yVal>
            <c:numRef>
              <c:f>Sheet1!$B$1:$B$6</c:f>
              <c:numCache>
                <c:formatCode>General</c:formatCode>
                <c:ptCount val="6"/>
                <c:pt idx="0">
                  <c:v>0.28499999999999998</c:v>
                </c:pt>
                <c:pt idx="1">
                  <c:v>0.28899999999999998</c:v>
                </c:pt>
                <c:pt idx="2">
                  <c:v>0.504</c:v>
                </c:pt>
                <c:pt idx="3">
                  <c:v>0.35899999999999999</c:v>
                </c:pt>
                <c:pt idx="4">
                  <c:v>0.16900000000000001</c:v>
                </c:pt>
                <c:pt idx="5">
                  <c:v>0.09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479-4536-AD73-9D635163A0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7891864"/>
        <c:axId val="597890424"/>
      </c:scatterChart>
      <c:valAx>
        <c:axId val="5978918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[PHE. HCl] / [PHE. HCl]+[TMA]</a:t>
                </a:r>
              </a:p>
            </c:rich>
          </c:tx>
          <c:layout>
            <c:manualLayout>
              <c:xMode val="edge"/>
              <c:yMode val="edge"/>
              <c:x val="0.21668721698249258"/>
              <c:y val="0.891447209609747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97890424"/>
        <c:crosses val="autoZero"/>
        <c:crossBetween val="midCat"/>
      </c:valAx>
      <c:valAx>
        <c:axId val="5978904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Absorbance</a:t>
                </a:r>
              </a:p>
            </c:rich>
          </c:tx>
          <c:layout>
            <c:manualLayout>
              <c:xMode val="edge"/>
              <c:yMode val="edge"/>
              <c:x val="7.9497274379164147E-4"/>
              <c:y val="0.264200816138858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978918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18470984078532"/>
          <c:y val="0.18692286623056484"/>
          <c:w val="0.80981511672274464"/>
          <c:h val="0.60196408617239672"/>
        </c:manualLayout>
      </c:layout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Sheet1!$A$1:$A$7</c:f>
              <c:numCache>
                <c:formatCode>General</c:formatCode>
                <c:ptCount val="7"/>
                <c:pt idx="0">
                  <c:v>0.25</c:v>
                </c:pt>
                <c:pt idx="1">
                  <c:v>0.5</c:v>
                </c:pt>
                <c:pt idx="2">
                  <c:v>1</c:v>
                </c:pt>
                <c:pt idx="3">
                  <c:v>1.25</c:v>
                </c:pt>
                <c:pt idx="4">
                  <c:v>1.5</c:v>
                </c:pt>
                <c:pt idx="5">
                  <c:v>2</c:v>
                </c:pt>
                <c:pt idx="6">
                  <c:v>2.25</c:v>
                </c:pt>
              </c:numCache>
            </c:numRef>
          </c:xVal>
          <c:yVal>
            <c:numRef>
              <c:f>Sheet1!$B$1:$B$7</c:f>
              <c:numCache>
                <c:formatCode>General</c:formatCode>
                <c:ptCount val="7"/>
                <c:pt idx="0">
                  <c:v>2.9000000000000001E-2</c:v>
                </c:pt>
                <c:pt idx="1">
                  <c:v>0.21099999999999999</c:v>
                </c:pt>
                <c:pt idx="2">
                  <c:v>0.36899999999999999</c:v>
                </c:pt>
                <c:pt idx="3">
                  <c:v>0.39800000000000002</c:v>
                </c:pt>
                <c:pt idx="4">
                  <c:v>0.41499999999999998</c:v>
                </c:pt>
                <c:pt idx="5">
                  <c:v>0.435</c:v>
                </c:pt>
                <c:pt idx="6">
                  <c:v>0.441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0F2-4812-BB44-AFB792F7F8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7891864"/>
        <c:axId val="597890424"/>
      </c:scatterChart>
      <c:valAx>
        <c:axId val="5978918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TMA/PHE. HCl</a:t>
                </a:r>
              </a:p>
            </c:rich>
          </c:tx>
          <c:layout>
            <c:manualLayout>
              <c:xMode val="edge"/>
              <c:yMode val="edge"/>
              <c:x val="0.38131940004019221"/>
              <c:y val="0.890164285019928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97890424"/>
        <c:crosses val="autoZero"/>
        <c:crossBetween val="midCat"/>
      </c:valAx>
      <c:valAx>
        <c:axId val="5978904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Absorbance</a:t>
                </a:r>
              </a:p>
            </c:rich>
          </c:tx>
          <c:layout>
            <c:manualLayout>
              <c:xMode val="edge"/>
              <c:yMode val="edge"/>
              <c:x val="1.3081482792179071E-2"/>
              <c:y val="0.2838036668774067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97891864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0.16556</cdr:x>
      <cdr:y>0.16501</cdr:y>
    </cdr:from>
    <cdr:to>
      <cdr:x>0.24371</cdr:x>
      <cdr:y>0.20428</cdr:y>
    </cdr:to>
    <cdr:sp macro="" textlink="">
      <cdr:nvSpPr>
        <cdr:cNvPr id="7" name="TextBox 6">
          <a:extLst xmlns:a="http://schemas.openxmlformats.org/drawingml/2006/main">
            <a:ext uri="{FF2B5EF4-FFF2-40B4-BE49-F238E27FC236}">
              <a16:creationId xmlns:a16="http://schemas.microsoft.com/office/drawing/2014/main" id="{2035D380-979A-54BC-ED30-AAD5D8E44FC4}"/>
            </a:ext>
          </a:extLst>
        </cdr:cNvPr>
        <cdr:cNvSpPr txBox="1"/>
      </cdr:nvSpPr>
      <cdr:spPr>
        <a:xfrm xmlns:a="http://schemas.openxmlformats.org/drawingml/2006/main">
          <a:off x="992187" y="633733"/>
          <a:ext cx="468313" cy="1508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 kern="12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0.24711</cdr:x>
      <cdr:y>0</cdr:y>
    </cdr:from>
    <cdr:to>
      <cdr:x>0.96715</cdr:x>
      <cdr:y>0.32245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21C21C3C-3A79-445A-B281-0916B6D607B5}"/>
            </a:ext>
          </a:extLst>
        </cdr:cNvPr>
        <cdr:cNvSpPr txBox="1"/>
      </cdr:nvSpPr>
      <cdr:spPr>
        <a:xfrm xmlns:a="http://schemas.openxmlformats.org/drawingml/2006/main">
          <a:off x="679450" y="0"/>
          <a:ext cx="1979777" cy="501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900" b="1">
              <a:cs typeface="+mj-cs"/>
            </a:rPr>
            <a:t>(0.25-2.25) mL of </a:t>
          </a:r>
          <a:r>
            <a:rPr lang="en-US" sz="900" b="1" baseline="0">
              <a:effectLst/>
              <a:latin typeface="+mn-lt"/>
              <a:ea typeface="+mn-ea"/>
              <a:cs typeface="+mj-cs"/>
            </a:rPr>
            <a:t> </a:t>
          </a:r>
          <a:r>
            <a:rPr lang="en-US" sz="900" b="1">
              <a:effectLst/>
              <a:latin typeface="+mn-lt"/>
              <a:ea typeface="+mn-ea"/>
              <a:cs typeface="+mj-cs"/>
            </a:rPr>
            <a:t>4.9</a:t>
          </a:r>
          <a:r>
            <a:rPr lang="en-US" sz="900" b="1">
              <a:effectLst/>
              <a:latin typeface="Calibri" panose="020F0502020204030204" pitchFamily="34" charset="0"/>
              <a:ea typeface="Calibri" panose="020F0502020204030204" pitchFamily="34" charset="0"/>
              <a:cs typeface="+mj-cs"/>
            </a:rPr>
            <a:t>×</a:t>
          </a:r>
          <a:r>
            <a:rPr lang="en-US" sz="900" b="1">
              <a:effectLst/>
              <a:latin typeface="+mn-lt"/>
              <a:ea typeface="+mn-ea"/>
              <a:cs typeface="+mj-cs"/>
            </a:rPr>
            <a:t>10</a:t>
          </a:r>
          <a:r>
            <a:rPr lang="en-US" sz="900" b="1" baseline="30000">
              <a:effectLst/>
              <a:latin typeface="+mn-lt"/>
              <a:ea typeface="+mn-ea"/>
              <a:cs typeface="+mj-cs"/>
            </a:rPr>
            <a:t>-2</a:t>
          </a:r>
          <a:r>
            <a:rPr lang="ar-IQ" sz="900" b="1">
              <a:effectLst/>
              <a:latin typeface="+mn-lt"/>
              <a:ea typeface="+mn-ea"/>
              <a:cs typeface="+mj-cs"/>
            </a:rPr>
            <a:t> </a:t>
          </a:r>
          <a:r>
            <a:rPr lang="en-US" sz="900" b="1">
              <a:effectLst/>
              <a:latin typeface="+mn-lt"/>
              <a:ea typeface="+mn-ea"/>
              <a:cs typeface="+mj-cs"/>
            </a:rPr>
            <a:t>M</a:t>
          </a:r>
          <a:r>
            <a:rPr lang="en-US" sz="900" b="1" baseline="0">
              <a:effectLst/>
              <a:latin typeface="+mn-lt"/>
              <a:ea typeface="+mn-ea"/>
              <a:cs typeface="+mj-cs"/>
            </a:rPr>
            <a:t> [PE.HCl]</a:t>
          </a:r>
        </a:p>
        <a:p xmlns:a="http://schemas.openxmlformats.org/drawingml/2006/main">
          <a:r>
            <a:rPr lang="en-US" sz="900" b="1" baseline="0">
              <a:effectLst/>
              <a:latin typeface="+mn-lt"/>
              <a:ea typeface="+mn-ea"/>
              <a:cs typeface="+mj-cs"/>
            </a:rPr>
            <a:t>(2.25-0.25) mL of </a:t>
          </a:r>
          <a:r>
            <a:rPr lang="en-US" sz="900" b="1">
              <a:cs typeface="+mj-cs"/>
            </a:rPr>
            <a:t> </a:t>
          </a:r>
          <a:r>
            <a:rPr lang="en-US" sz="900" b="1">
              <a:effectLst/>
              <a:latin typeface="+mn-lt"/>
              <a:ea typeface="+mn-ea"/>
              <a:cs typeface="+mj-cs"/>
            </a:rPr>
            <a:t>4.9</a:t>
          </a:r>
          <a:r>
            <a:rPr lang="en-US" sz="900" b="1">
              <a:effectLst/>
              <a:latin typeface="Calibri" panose="020F0502020204030204" pitchFamily="34" charset="0"/>
              <a:ea typeface="Calibri" panose="020F0502020204030204" pitchFamily="34" charset="0"/>
              <a:cs typeface="+mj-cs"/>
            </a:rPr>
            <a:t>×</a:t>
          </a:r>
          <a:r>
            <a:rPr lang="en-US" sz="900" b="1">
              <a:effectLst/>
              <a:latin typeface="+mn-lt"/>
              <a:ea typeface="+mn-ea"/>
              <a:cs typeface="+mj-cs"/>
            </a:rPr>
            <a:t>10</a:t>
          </a:r>
          <a:r>
            <a:rPr lang="en-US" sz="900" b="1" baseline="30000">
              <a:effectLst/>
              <a:latin typeface="+mn-lt"/>
              <a:ea typeface="+mn-ea"/>
              <a:cs typeface="+mj-cs"/>
            </a:rPr>
            <a:t>-2</a:t>
          </a:r>
          <a:r>
            <a:rPr lang="ar-IQ" sz="900" b="1">
              <a:effectLst/>
              <a:latin typeface="+mn-lt"/>
              <a:ea typeface="+mn-ea"/>
              <a:cs typeface="+mj-cs"/>
            </a:rPr>
            <a:t> </a:t>
          </a:r>
          <a:r>
            <a:rPr lang="en-US" sz="900" b="1" baseline="0">
              <a:effectLst/>
              <a:latin typeface="+mn-lt"/>
              <a:ea typeface="+mn-ea"/>
              <a:cs typeface="+mj-cs"/>
            </a:rPr>
            <a:t> M [TMA</a:t>
          </a:r>
          <a:r>
            <a:rPr lang="en-US" sz="900" b="0" baseline="0">
              <a:effectLst/>
              <a:latin typeface="+mn-lt"/>
              <a:ea typeface="+mn-ea"/>
              <a:cs typeface="+mj-cs"/>
            </a:rPr>
            <a:t>]</a:t>
          </a:r>
          <a:endParaRPr lang="en-US" sz="900" b="0">
            <a:cs typeface="+mj-cs"/>
          </a:endParaRPr>
        </a:p>
      </cdr:txBody>
    </cdr:sp>
  </cdr:relSizeAnchor>
  <cdr:relSizeAnchor xmlns:cdr="http://schemas.openxmlformats.org/drawingml/2006/chartDrawing">
    <cdr:from>
      <cdr:x>0.12872</cdr:x>
      <cdr:y>0.00721</cdr:y>
    </cdr:from>
    <cdr:to>
      <cdr:x>0.26405</cdr:x>
      <cdr:y>0.17839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398057" y="13916"/>
          <a:ext cx="418502" cy="3304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(A)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0.27313</cdr:x>
      <cdr:y>0</cdr:y>
    </cdr:from>
    <cdr:to>
      <cdr:x>1</cdr:x>
      <cdr:y>0.32567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BF31C8F0-9370-4915-BF0A-DB98461FE872}"/>
            </a:ext>
          </a:extLst>
        </cdr:cNvPr>
        <cdr:cNvSpPr txBox="1"/>
      </cdr:nvSpPr>
      <cdr:spPr>
        <a:xfrm xmlns:a="http://schemas.openxmlformats.org/drawingml/2006/main">
          <a:off x="756188" y="0"/>
          <a:ext cx="2012412" cy="5397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900" b="1">
              <a:cs typeface="+mj-cs"/>
            </a:rPr>
            <a:t>1 mL of</a:t>
          </a:r>
          <a:r>
            <a:rPr lang="en-US" sz="900" b="1" baseline="0">
              <a:cs typeface="+mj-cs"/>
            </a:rPr>
            <a:t> </a:t>
          </a:r>
          <a:r>
            <a:rPr lang="en-US" sz="900" b="1" baseline="0">
              <a:effectLst/>
              <a:latin typeface="+mn-lt"/>
              <a:ea typeface="+mn-ea"/>
              <a:cs typeface="+mj-cs"/>
            </a:rPr>
            <a:t> </a:t>
          </a:r>
          <a:r>
            <a:rPr lang="en-US" sz="900" b="1">
              <a:effectLst/>
              <a:latin typeface="+mn-lt"/>
              <a:ea typeface="+mn-ea"/>
              <a:cs typeface="+mj-cs"/>
            </a:rPr>
            <a:t>4.9</a:t>
          </a:r>
          <a:r>
            <a:rPr lang="en-US" sz="900" b="1">
              <a:effectLst/>
              <a:latin typeface="Calibri" panose="020F0502020204030204" pitchFamily="34" charset="0"/>
              <a:ea typeface="Calibri" panose="020F0502020204030204" pitchFamily="34" charset="0"/>
              <a:cs typeface="+mj-cs"/>
            </a:rPr>
            <a:t>×</a:t>
          </a:r>
          <a:r>
            <a:rPr lang="en-US" sz="900" b="1">
              <a:effectLst/>
              <a:latin typeface="+mn-lt"/>
              <a:ea typeface="+mn-ea"/>
              <a:cs typeface="+mj-cs"/>
            </a:rPr>
            <a:t>10</a:t>
          </a:r>
          <a:r>
            <a:rPr lang="en-US" sz="900" b="1" baseline="30000">
              <a:effectLst/>
              <a:latin typeface="+mn-lt"/>
              <a:ea typeface="+mn-ea"/>
              <a:cs typeface="+mj-cs"/>
            </a:rPr>
            <a:t>-2</a:t>
          </a:r>
          <a:r>
            <a:rPr lang="ar-IQ" sz="900" b="1">
              <a:effectLst/>
              <a:latin typeface="+mn-lt"/>
              <a:ea typeface="+mn-ea"/>
              <a:cs typeface="+mj-cs"/>
            </a:rPr>
            <a:t> </a:t>
          </a:r>
          <a:r>
            <a:rPr lang="en-US" sz="900" b="1" baseline="0">
              <a:effectLst/>
              <a:latin typeface="+mn-lt"/>
              <a:ea typeface="+mn-ea"/>
              <a:cs typeface="+mj-cs"/>
            </a:rPr>
            <a:t> M [PHE. HCl]</a:t>
          </a:r>
        </a:p>
        <a:p xmlns:a="http://schemas.openxmlformats.org/drawingml/2006/main">
          <a:r>
            <a:rPr lang="en-US" sz="900" b="1" baseline="0">
              <a:effectLst/>
              <a:latin typeface="+mn-lt"/>
              <a:ea typeface="+mn-ea"/>
              <a:cs typeface="+mj-cs"/>
            </a:rPr>
            <a:t>0.25-2.25 mL of  </a:t>
          </a:r>
          <a:r>
            <a:rPr lang="en-US" sz="900" b="1">
              <a:effectLst/>
              <a:latin typeface="+mn-lt"/>
              <a:ea typeface="+mn-ea"/>
              <a:cs typeface="+mj-cs"/>
            </a:rPr>
            <a:t>4.9</a:t>
          </a:r>
          <a:r>
            <a:rPr lang="en-US" sz="900" b="1">
              <a:effectLst/>
              <a:latin typeface="Calibri" panose="020F0502020204030204" pitchFamily="34" charset="0"/>
              <a:ea typeface="Calibri" panose="020F0502020204030204" pitchFamily="34" charset="0"/>
              <a:cs typeface="+mj-cs"/>
            </a:rPr>
            <a:t>×</a:t>
          </a:r>
          <a:r>
            <a:rPr lang="en-US" sz="900" b="1">
              <a:effectLst/>
              <a:latin typeface="+mn-lt"/>
              <a:ea typeface="+mn-ea"/>
              <a:cs typeface="+mj-cs"/>
            </a:rPr>
            <a:t>10</a:t>
          </a:r>
          <a:r>
            <a:rPr lang="en-US" sz="900" b="1" baseline="30000">
              <a:effectLst/>
              <a:latin typeface="+mn-lt"/>
              <a:ea typeface="+mn-ea"/>
              <a:cs typeface="+mj-cs"/>
            </a:rPr>
            <a:t>-2</a:t>
          </a:r>
          <a:r>
            <a:rPr lang="ar-IQ" sz="900" b="1">
              <a:effectLst/>
              <a:latin typeface="+mn-lt"/>
              <a:ea typeface="+mn-ea"/>
              <a:cs typeface="+mj-cs"/>
            </a:rPr>
            <a:t> </a:t>
          </a:r>
          <a:r>
            <a:rPr lang="en-US" sz="900" b="1" baseline="0">
              <a:effectLst/>
              <a:latin typeface="+mn-lt"/>
              <a:ea typeface="+mn-ea"/>
              <a:cs typeface="+mj-cs"/>
            </a:rPr>
            <a:t> M [TMA]</a:t>
          </a:r>
          <a:endParaRPr lang="en-US" sz="900" b="1">
            <a:cs typeface="+mj-cs"/>
          </a:endParaRPr>
        </a:p>
      </cdr:txBody>
    </cdr:sp>
  </cdr:relSizeAnchor>
  <cdr:relSizeAnchor xmlns:cdr="http://schemas.openxmlformats.org/drawingml/2006/chartDrawing">
    <cdr:from>
      <cdr:x>0.13665</cdr:x>
      <cdr:y>0.02085</cdr:y>
    </cdr:from>
    <cdr:to>
      <cdr:x>0.28194</cdr:x>
      <cdr:y>0.14191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393934" y="40115"/>
          <a:ext cx="418865" cy="2329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(B)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6</cp:revision>
  <dcterms:created xsi:type="dcterms:W3CDTF">2026-01-03T10:20:00Z</dcterms:created>
  <dcterms:modified xsi:type="dcterms:W3CDTF">2026-01-04T19:47:00Z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fdb3cd1d-4416-485c-a61f-acd3e65bfccb</vt:lpwstr>
  </property>
</Properties>
</file>